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LBGJ</w:t>
      </w:r>
      <w:r>
        <w:rPr>
          <w:rFonts w:ascii="Calibri" w:hAnsi="Calibri"/>
          <w:b/>
          <w:color w:val="1A2010"/>
          <w:sz w:val="40"/>
        </w:rPr>
        <w:t xml:space="preserve">  Li Bang International Corporation Inc.</w:t>
      </w:r>
    </w:p>
    <w:p>
      <w:pPr>
        <w:spacing w:after="120"/>
      </w:pPr>
      <w:r>
        <w:rPr>
          <w:rFonts w:ascii="Calibri" w:hAnsi="Calibri"/>
          <w:b/>
          <w:color w:val="6E8450"/>
          <w:sz w:val="18"/>
        </w:rPr>
        <w:t>GROWTH SLEEVE · 2026-03-23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China</w:t>
      </w:r>
    </w:p>
    <w:p>
      <w:pPr>
        <w:spacing w:after="80"/>
      </w:pPr>
      <w:r>
        <w:rPr>
          <w:rFonts w:ascii="Calibri" w:hAnsi="Calibri"/>
          <w:b w:val="0"/>
          <w:color w:val="3A4A28"/>
          <w:sz w:val="20"/>
        </w:rPr>
        <w:t>Li Bang International designs, develops, produces, and sells stainless-steel commercial kitchen equipment in China under the Li Bang brand. The company is expanding into catering services through its Yufengyuan acquisition and building a RMB 200 million intelligent kitchen production facility expected to begin operations in June 2026.</w:t>
      </w:r>
    </w:p>
    <w:p>
      <w:r>
        <w:rPr>
          <w:rFonts w:ascii="Calibri" w:hAnsi="Calibri"/>
          <w:b/>
          <w:color w:val="6E8450"/>
          <w:sz w:val="18"/>
        </w:rPr>
        <w:t>134 Employees · https://www.libangco.cn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Bang's new intelligent kitchen production facility representing a RMB 200 million investment targets 5,000 sets annually with anticipated output value of RMB 300-500 million, showing manufacturing ambition [1]. The Yufengyuan catering acquisition diversifies into higher-margin services. However, the company operates in a low-tech industry with minimal IP differentiation, and R&amp;D spending is negligible for a company generating just $11 million in annual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Bang employs only 134 people in a traditional Chinese manufacturing business with limited visibility into corporate culture or employee engagement [1]. The company has no public ESG reporting, minimal analyst coverage, and trades at $0.03/share with a $1.6 million market cap, reflecting near-total lack of investor confidence. The Nasdaq compliance deadline of May 2026 for bid price deficiency underscores existential governance concerns.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(38,450,225) x stock_price ($0.03) = $1,153,507 — this marginally passes the $1M threshold, but the stock trades at $0.03 with a $1.6M market cap, negative operating margins of -12.2%, net losses, and D/E of 136% [2]. Revenue of $11.1 million with 2.9% growth is stagnant, ROE of -16.8%, and the company faces Nasdaq delisting risk. The stock has declined from $0.58 (50-day SMA) to $0.03, a 95% collapse.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 Bang exhibits predominantly finite game characteristics — the company is fighting for survival with a $1.6 million market cap, Nasdaq delisting risk, negative margins, and declining revenue [1][2]. The Yufengyuan acquisition and new facility represent growth bets, but the precarious financial position makes long-term vision secondary to near-term survival.</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Bang's mission of providing commercial kitchen equipment lacks the scale or ambition to constitute a just cause. The company serves a narrow market in China with commodity products and has no articulated vision beyond growth through acquisitions and capacity expansion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134 employees in a small Chinese manufacturer facing delisting risk, the trust environment is difficult to assess but likely strained by financial uncertainty. No public employee engagement data or culture reporting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Bang competes with numerous Chinese kitchen equipment manufacturers in a fragmented market with minimal differentiation. The company's $11 million revenue is negligible in a market dominated by larger players with superior scale and distribution.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Yufengyuan catering acquisition and intelligent kitchen facility show some strategic flexibility, pivoting from pure manufacturing to an integrated kitchen + catering services model [1]. However, these moves feel desperate given the financial position rather than visionary.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RMB 200 million in a new facility while the company has a $1.6 million market cap and faces delisting is either courageous or reckless. The gap between investment ambitions and current financial reality suggests poor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 Bang has two potentially transformative catalysts in 2026: the Yufengyuan catering acquisition projected to add ~$22 million in revenue (doubling the company's top line), and the RMB 200 million intelligent kitchen facility commencing operations in June 2026 with eventual capacity of RMB 300-500 million annually [1]. If both execute, revenue could triple within 18-24 months from the current $11 million base, and the $0.03 stock price reflects maximum pessimism.</w:t>
      </w:r>
    </w:p>
    <w:p>
      <w:pPr>
        <w:spacing w:after="120"/>
      </w:pPr>
      <w:r>
        <w:rPr>
          <w:rFonts w:ascii="Calibri" w:hAnsi="Calibri"/>
          <w:b w:val="0"/>
          <w:color w:val="3A4A28"/>
          <w:sz w:val="20"/>
        </w:rPr>
        <w:t>The bear case is overwhelming: LBGJ trades at $0.03 with a $1.6 million market cap, faces Nasdaq delisting by May 2026, carries D/E of 136%, and has negative margins, declining revenue, and negative ROE [2]. The 95% stock price decline from the 50-day SMA suggests catastrophic loss of investor confidence. Chinese small-cap stocks face US regulatory risk (HFCAA auditing), limited financial transparency, and the acquisitions require capital the company may not have. The intelligent kitchen facility's RMB 200 million investment dwarfs the company's market cap, raising dilution and financing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Yufengyuan acquisition projected to contribute ~$22M in 2026 revenue, potentially tripling the company's top line if integration succeeds</w:t>
      </w:r>
    </w:p>
    <w:p>
      <w:pPr>
        <w:spacing w:before="40" w:after="40"/>
        <w:ind w:left="283"/>
      </w:pPr>
      <w:r>
        <w:rPr>
          <w:rFonts w:ascii="Calibri" w:hAnsi="Calibri"/>
          <w:b/>
          <w:color w:val="4A6B25"/>
          <w:sz w:val="20"/>
        </w:rPr>
        <w:t xml:space="preserve">2. </w:t>
      </w:r>
      <w:r>
        <w:rPr>
          <w:rFonts w:ascii="Calibri" w:hAnsi="Calibri"/>
          <w:b w:val="0"/>
          <w:color w:val="3A4A28"/>
          <w:sz w:val="20"/>
        </w:rPr>
        <w:t>Intelligent kitchen facility commencing operations June 2026 with RMB 300-500M annual output capacity could transform manufacturing scale</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by May 2026 deadline would remove delisting overhang and restore institutional investor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by May 2026 if bid price deficiency is not resolved, which would effectively end the stock's institutional investability</w:t>
      </w:r>
    </w:p>
    <w:p>
      <w:pPr>
        <w:spacing w:before="40" w:after="40"/>
        <w:ind w:left="283"/>
      </w:pPr>
      <w:r>
        <w:rPr>
          <w:rFonts w:ascii="Calibri" w:hAnsi="Calibri"/>
          <w:b/>
          <w:color w:val="4A6B25"/>
          <w:sz w:val="20"/>
        </w:rPr>
        <w:t xml:space="preserve">2. </w:t>
      </w:r>
      <w:r>
        <w:rPr>
          <w:rFonts w:ascii="Calibri" w:hAnsi="Calibri"/>
          <w:b w:val="0"/>
          <w:color w:val="3A4A28"/>
          <w:sz w:val="20"/>
        </w:rPr>
        <w:t>Financing the RMB 200M facility investment with a $1.6M market cap likely requires extreme dilution or off-balance-sheet arrangements</w:t>
      </w:r>
    </w:p>
    <w:p>
      <w:pPr>
        <w:spacing w:before="40" w:after="40"/>
        <w:ind w:left="283"/>
      </w:pPr>
      <w:r>
        <w:rPr>
          <w:rFonts w:ascii="Calibri" w:hAnsi="Calibri"/>
          <w:b/>
          <w:color w:val="4A6B25"/>
          <w:sz w:val="20"/>
        </w:rPr>
        <w:t xml:space="preserve">3. </w:t>
      </w:r>
      <w:r>
        <w:rPr>
          <w:rFonts w:ascii="Calibri" w:hAnsi="Calibri"/>
          <w:b w:val="0"/>
          <w:color w:val="3A4A28"/>
          <w:sz w:val="20"/>
        </w:rPr>
        <w:t>Chinese small-cap manufacturing stocks carry US-China regulatory risk, limited audit transparency, and potential HFCAA compliance issues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minimally relevant to Li Bang's stainless-steel kitchen equipment business. The 'intelligent kitchen' facility branding suggests some automation and smart manufacturing capabilities, but the core product is commodity hardware [1]. AI neither significantly threatens nor enables this business — competition is based on price, distribution, and relationships in China's commercial kitchen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 Bang International Yufengyuan acquisition and intelligent kitchen facility announcements,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LBGJ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LBGJ financial overview,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