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LBRDK</w:t>
      </w:r>
      <w:r>
        <w:rPr>
          <w:rFonts w:ascii="Calibri" w:hAnsi="Calibri"/>
          <w:b/>
          <w:color w:val="1A2010"/>
          <w:sz w:val="40"/>
        </w:rPr>
        <w:t xml:space="preserve">  Liberty Broadband Corporation</w:t>
      </w:r>
    </w:p>
    <w:p>
      <w:pPr>
        <w:spacing w:after="120"/>
      </w:pPr>
      <w:r>
        <w:rPr>
          <w:rFonts w:ascii="Calibri" w:hAnsi="Calibri"/>
          <w:b/>
          <w:color w:val="6E8450"/>
          <w:sz w:val="18"/>
        </w:rPr>
        <w:t>GROWTH SLEEVE · 2026-04-30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Liberty Broadband is a holding company whose primary asset is a significant equity stake in Charter Communications (CHTR), the second-largest cable operator in the U.S. The company previously operated GCI, an Alaska-based communications subsidiary, which was divested in July 2025. Liberty Broadband has an approved all-stock merger with Charter expected to close June 30, 2027, with a 0.236 exchange ratio.</w:t>
      </w:r>
    </w:p>
    <w:p>
      <w:r>
        <w:rPr>
          <w:rFonts w:ascii="Calibri" w:hAnsi="Calibri"/>
          <w:b/>
          <w:color w:val="6E8450"/>
          <w:sz w:val="18"/>
        </w:rPr>
        <w:t>https://www.libertybroadband.com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Broadband is a passive holding company with no independent products, operations, or innovation capacity — its value is entirely derived from its Charter Communications equity stake [1]. The divestiture of GCI (July 2025) eliminated its only operating subsidiary, leaving it as a pure-play tracking vehicle for CHTR [1]. AI Deployment (0/2): No AI deployment — Liberty Broadband has no operating business, no employees, and no technology platform. Charter, the underlying asset, uses AI for dynamic pricing (100,000 pricing plans for 6M+ broadband customers) through its Liberty Global affiliate, but this is not Liberty Broadband's innovation [2]. Market Share (1/2): Through its Charter stake, Liberty Broadband has exposure to the second-largest U.S. cable operator with 29.6M internet customers, but this is an investment position rather than operational market leadership [1]. Pipeline (0/2): No product pipeline — Liberty Broadband's only near-term event is the pending Charter merger at a 0.236 exchange ratio, expected to close June 30, 2027 [1]. R&amp;D Intensity (1/1): Not applicable — Liberty Broadband has no R&amp;D function. However, Charter spends meaningfully on network infrastructure upgrades (DOCSIS 4.0, fiber expansion) that benefit Liberty Broadband's equity value indirectly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Broadband has no articulated mission, vision, or purpose statement — it exists as a financial vehicle to hold a Charter Communications stake under John Malone's media empire structure [2]. The company's website contains investor relations materials but no organizational purpose beyond value creation for shareholders. Community Impact (1/2): Through its Charter investment, Liberty Broadband has indirect exposure to broadband infrastructure that connects millions of Americans. Liberty Broadband supports Charter's goal of carbon neutrality by 2035 and the company has environmental stewardship commitments [3]. Employee Retention (0/2): Liberty Broadband has no employees (holding company structure). No Glassdoor data or culture metrics are applicable [2]. Insider Buying (1/2): John Malone's controlling interest (via supervoting shares) represents significant long-term alignment, and the pending Charter merger at a 0.236 ratio was structured to create value for Liberty shareholders. However, no recent open-market insider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Broadband's financial profile is unusual as a holding company. D/E of 34.2% reflects $1.95B in debt against $57M cash — moderate leverage for a holding vehicle, though the debt is secured by the Charter equity stake [4]. ROE is deeply negative at -30.1% due to accounting losses from equity method investments and the GCI divestiture. Revenue is $0 (equity method accounting for Charter stake), making traditional revenue growth metrics inapplicable. Forward P/E of 5.6x is extremely low, reflecting the market's assessment that the Charter merger provides a floor value near the 0.236 exchange ratio ($42.25 in CHTR shares per LBRDK share vs. current $36.96 price) [1]. The stock trades at a ~12% discount to its implied merger value, creating a potential arbitrage opportunity but also reflecting merger execution risk and Charter's deteriorating broadband fundamentals (120K subscriber losses in Q1 2026) [1]. Liquidity floor cleared at $54.3M daily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Liberty Broadband exists within John Malone's media empire — a structure designed for long-term value creation through financial engineering rather than operational excellence or purpose-driven leadership. The pending Charter merger is the end-state of this holding company strategy, which is inherently finite (the company will cease to exist upon merger). Malone's track record of patient, decades-long capital allocation earns some infinite game credit, but the lack of organizational purpose or culture limits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Broadband has no Just Cause — it is a financial holding vehicle with no mission, vision, or purpose beyond creating shareholder value through its Charter Communications stake [2]. The company will cease to exist upon the Charter merger closing (expected June 2027). John Malone's broader vision of building communications infrastructure has some infinite qualities, but Liberty Broadband itself is a temporary financial structure, not a purpose-driven organization.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Broadband has no employees, no organizational culture, and no teams to evaluate. The company is managed by a small executive team that oversees the holding company structure. This dimension is structurally inapplicable to a shell holding company [2].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Malone's media empire has historically acknowledged competitive strengths of rivals — the Charter merger itself reflects recognition that consolidated scale is necessary to compete against well-resourced tech competitors (Google Fiber, T-Mobile FWA, Starlink) in the broadband market [1]. The holding company structure implicitly acknowledges that operational excellence requires Charter's management team rather than Liberty's financial engineering alone.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Broadband demonstrated flexibility by divesting GCI (July 2025) to streamline the holding company structure for the Charter merger [1]. Malone's broader empire has shown willingness to restructure, spin off, and merge entities across decades (Liberty Media, Liberty Interactive, Liberty TripAdvisor, etc.). However, Liberty Broadband itself has been a single-purpose vehicle since inception and is now terminating via merger.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Malone built his media empire through decades of patient, contrarian capital allocation — accumulating cable assets when they were undervalued and using tracking stock structures when conventional wisdom favored operational purity [2]. The Liberty Broadband structure allowed patient accumulation of a Charter position over many years. However, the company's strategy is primarily financial engineering rather than operational courage, and the merger is a liquidity event rather than a bold long-term bet.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Broadband trades at $36.96, approximately 12% below its implied merger value of ~$42.25 per share (0.236 x Charter's $179 share price), creating a potential merger arbitrage opportunity with the Charter all-stock acquisition expected to close June 30, 2027 [1]. Stockholders of both companies have already approved the transaction, and the GCI divestiture is complete, removing a key merger condition [1]. Q1 2026 net earnings from continuing operations were $203M ($1.41 per share), and forward P/E of 5.6x reflects the depressed valuation relative to Charter's fundamentals [1]. If Charter's broadband subscriber trends stabilize, the NAV discount could narrow significantly before the merger close, offering 12%+ upside plus any Charter share price recovery [1].</w:t>
      </w:r>
    </w:p>
    <w:p>
      <w:pPr>
        <w:spacing w:after="120"/>
      </w:pPr>
      <w:r>
        <w:rPr>
          <w:rFonts w:ascii="Calibri" w:hAnsi="Calibri"/>
          <w:b w:val="0"/>
          <w:color w:val="3A4A28"/>
          <w:sz w:val="20"/>
        </w:rPr>
        <w:t>The bear case is that Liberty Broadband is a pure derivative of Charter Communications, and Charter's fundamentals are deteriorating. Charter lost 120,000 broadband subscribers in Q1 2026 (worse than the 100K expected), revenue declined 1% to $13.6B, and adjusted EBITDA fell 2.2% to $5.6B [1]. Fixed wireless access from T-Mobile and Verizon is eroding Charter's broadband monopoly in suburban markets, while fiber overbuilders (AT&amp;T, Frontier) attack urban footprints. The merger's all-stock structure means Liberty Broadband shareholders become Charter shareholders — if CHTR shares continue declining, the merger value declines proportionally. The 12% NAV discount may widen rather than narrow if Charter's subscriber losses accelerate. Liberty Broadband carries $1.95B in debt against only $57M in cash, creating leverage risk if Charter shares fall further [4]. The Inspire score of -62 (MISALIGNED) reflects Charter's content distribution including sexually explicit material, which may limit the stock's appeal to values-based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Charter merger closing expected June 30, 2027, which would eliminate the ~12% NAV discount and convert Liberty Broadband shares to Charter at 0.236 ratio [1]</w:t>
      </w:r>
    </w:p>
    <w:p>
      <w:pPr>
        <w:spacing w:before="40" w:after="40"/>
        <w:ind w:left="283"/>
      </w:pPr>
      <w:r>
        <w:rPr>
          <w:rFonts w:ascii="Calibri" w:hAnsi="Calibri"/>
          <w:b/>
          <w:color w:val="4A6B25"/>
          <w:sz w:val="20"/>
        </w:rPr>
        <w:t xml:space="preserve">2. </w:t>
      </w:r>
      <w:r>
        <w:rPr>
          <w:rFonts w:ascii="Calibri" w:hAnsi="Calibri"/>
          <w:b w:val="0"/>
          <w:color w:val="3A4A28"/>
          <w:sz w:val="20"/>
        </w:rPr>
        <w:t>Charter broadband subscriber stabilization — if Q2-Q3 2026 net losses moderate or reverse, both CHTR and LBRDK would re-rate higher given current depressed valuations [1]</w:t>
      </w:r>
    </w:p>
    <w:p>
      <w:pPr>
        <w:spacing w:before="40" w:after="40"/>
        <w:ind w:left="283"/>
      </w:pPr>
      <w:r>
        <w:rPr>
          <w:rFonts w:ascii="Calibri" w:hAnsi="Calibri"/>
          <w:b/>
          <w:color w:val="4A6B25"/>
          <w:sz w:val="20"/>
        </w:rPr>
        <w:t xml:space="preserve">3. </w:t>
      </w:r>
      <w:r>
        <w:rPr>
          <w:rFonts w:ascii="Calibri" w:hAnsi="Calibri"/>
          <w:b w:val="0"/>
          <w:color w:val="3A4A28"/>
          <w:sz w:val="20"/>
        </w:rPr>
        <w:t>Charter's DOCSIS 4.0 and fiber network upgrades improving competitive positioning against FWA and fiber overbuilders, potentially reversing subscriber losses in upgraded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Charter broadband subscriber erosion accelerating as T-Mobile FWA, Verizon FWA, and fiber overbuilders capture market share — Q1 2026 losses of 120K exceeded expectations [1]</w:t>
      </w:r>
    </w:p>
    <w:p>
      <w:pPr>
        <w:spacing w:before="40" w:after="40"/>
        <w:ind w:left="283"/>
      </w:pPr>
      <w:r>
        <w:rPr>
          <w:rFonts w:ascii="Calibri" w:hAnsi="Calibri"/>
          <w:b/>
          <w:color w:val="4A6B25"/>
          <w:sz w:val="20"/>
        </w:rPr>
        <w:t xml:space="preserve">2. </w:t>
      </w:r>
      <w:r>
        <w:rPr>
          <w:rFonts w:ascii="Calibri" w:hAnsi="Calibri"/>
          <w:b w:val="0"/>
          <w:color w:val="3A4A28"/>
          <w:sz w:val="20"/>
        </w:rPr>
        <w:t>Merger execution risk — the 14-month timeline to June 2027 close exposes shareholders to Charter share price volatility with no cash consideration component [1]</w:t>
      </w:r>
    </w:p>
    <w:p>
      <w:pPr>
        <w:spacing w:before="40" w:after="40"/>
        <w:ind w:left="283"/>
      </w:pPr>
      <w:r>
        <w:rPr>
          <w:rFonts w:ascii="Calibri" w:hAnsi="Calibri"/>
          <w:b/>
          <w:color w:val="4A6B25"/>
          <w:sz w:val="20"/>
        </w:rPr>
        <w:t xml:space="preserve">3. </w:t>
      </w:r>
      <w:r>
        <w:rPr>
          <w:rFonts w:ascii="Calibri" w:hAnsi="Calibri"/>
          <w:b w:val="0"/>
          <w:color w:val="3A4A28"/>
          <w:sz w:val="20"/>
        </w:rPr>
        <w:t>Liberty Broadband's $1.95B debt load secured by Charter shares creates margin-call-like risk if CHTR shares decline significantly, potentially forcing asset sales at distressed prices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Broadband's underlying asset — Charter Communications' cable broadband network — is physical infrastructure that AI cannot substitute [1]. AI actually increases demand for broadband connectivity as AI applications, cloud computing, and streaming services require more bandwidth. Cable broadband networks benefit from the secular trend of rising data consumption, and Charter's 29.6M internet customers represent essential infrastructure. However, AI-driven fixed wireless access (FWA) competitors (T-Mobile, Verizon) are using AI network optimization to improve wireless broadband quality, creating substitution risk for cable. AI also enables more efficient customer acquisition by competitors, pressuring Charter's subscriber base (120K net losses in Q1 2026) [1]. AI Opportunity (0/1): Liberty Broadband generates no direct AI revenue. Charter uses AI for customer service automation and network optimization, but these are cost-saving tools rather than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Charter Communications Q1 2026 Earnings — $13.6B revenue (down 1%), 120K broadband subscriber losses, adjusted EBITDA $5.6B, April 2026</w:t>
      </w:r>
    </w:p>
    <w:p>
      <w:pPr>
        <w:spacing w:before="20" w:after="20"/>
        <w:ind w:left="170"/>
      </w:pPr>
      <w:r>
        <w:rPr>
          <w:rFonts w:ascii="Calibri" w:hAnsi="Calibri"/>
          <w:b/>
          <w:color w:val="4A6B25"/>
          <w:sz w:val="15"/>
        </w:rPr>
        <w:t xml:space="preserve">2. </w:t>
      </w:r>
      <w:r>
        <w:rPr>
          <w:rFonts w:ascii="Calibri" w:hAnsi="Calibri"/>
          <w:b w:val="0"/>
          <w:color w:val="3A4A28"/>
          <w:sz w:val="17"/>
        </w:rPr>
        <w:t>Liberty Broadband corporate website, executive team, environmental stewardship initiatives, merger update filings</w:t>
      </w:r>
    </w:p>
    <w:p>
      <w:pPr>
        <w:spacing w:before="20" w:after="20"/>
        <w:ind w:left="170"/>
      </w:pPr>
      <w:r>
        <w:rPr>
          <w:rFonts w:ascii="Calibri" w:hAnsi="Calibri"/>
          <w:b/>
          <w:color w:val="4A6B25"/>
          <w:sz w:val="15"/>
        </w:rPr>
        <w:t xml:space="preserve">3. </w:t>
      </w:r>
      <w:r>
        <w:rPr>
          <w:rFonts w:ascii="Calibri" w:hAnsi="Calibri"/>
          <w:b w:val="0"/>
          <w:color w:val="3A4A28"/>
          <w:sz w:val="17"/>
        </w:rPr>
        <w:t>Liberty Broadband ESG disclosures — environmental stewardship, Charter carbon neutrality 2035 goal support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LBRDK (Liberty Broadband), retrieved April 30, 2026</w:t>
      </w:r>
    </w:p>
    <w:p>
      <w:pPr>
        <w:spacing w:before="20" w:after="20"/>
        <w:ind w:left="170"/>
      </w:pPr>
      <w:r>
        <w:rPr>
          <w:rFonts w:ascii="Calibri" w:hAnsi="Calibri"/>
          <w:b/>
          <w:color w:val="4A6B25"/>
          <w:sz w:val="15"/>
        </w:rPr>
        <w:t xml:space="preserve">5. </w:t>
      </w:r>
      <w:r>
        <w:rPr>
          <w:rFonts w:ascii="Calibri" w:hAnsi="Calibri"/>
          <w:b w:val="0"/>
          <w:color w:val="3A4A28"/>
          <w:sz w:val="17"/>
        </w:rPr>
        <w:t>Inspire Insight data — LBRDK score -62 (MISALIGNED), negative attribution: Sexually Explicit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