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LBTYA</w:t>
      </w:r>
      <w:r>
        <w:rPr>
          <w:rFonts w:ascii="Calibri" w:hAnsi="Calibri"/>
          <w:b/>
          <w:color w:val="1A2010"/>
          <w:sz w:val="40"/>
        </w:rPr>
        <w:t xml:space="preserve">  Liberty Global Ltd.</w:t>
      </w:r>
    </w:p>
    <w:p>
      <w:pPr>
        <w:spacing w:after="120"/>
      </w:pPr>
      <w:r>
        <w:rPr>
          <w:rFonts w:ascii="Calibri" w:hAnsi="Calibri"/>
          <w:b/>
          <w:color w:val="6E8450"/>
          <w:sz w:val="18"/>
        </w:rPr>
        <w:t>GROWTH SLEEVE · 2026-04-11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Bermuda</w:t>
      </w:r>
    </w:p>
    <w:p>
      <w:pPr>
        <w:spacing w:after="80"/>
      </w:pPr>
      <w:r>
        <w:rPr>
          <w:rFonts w:ascii="Calibri" w:hAnsi="Calibri"/>
          <w:b w:val="0"/>
          <w:color w:val="3A4A28"/>
          <w:sz w:val="20"/>
        </w:rPr>
        <w:t>Liberty Global Ltd. provides broadband internet, video, fixed-line telephony, and mobile communications services to residential and business customers primarily in Europe. Operating in Belgium, Ireland, Slovakia, and internationally, the company offers intelligent WiFi, smart home automation, cloud-based entertainment platforms (Horizon 5), and converged fixed-mobile services through its cable and fiber infrastructure.</w:t>
      </w:r>
    </w:p>
    <w:p>
      <w:r>
        <w:rPr>
          <w:rFonts w:ascii="Calibri" w:hAnsi="Calibri"/>
          <w:b/>
          <w:color w:val="6E8450"/>
          <w:sz w:val="18"/>
        </w:rPr>
        <w:t>6,636 Employees · https://www.libertyglobal.com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Liberty Global has executed a major portfolio restructuring over the past 5 years, completing the Sunrise/UPC Switzerland merger and VMO2 JV with Telefonica, but these are financial engineering moves rather than product innovation — the core broadband/video/mobile service offering has not been meaningfully transformed [1][2]. AI Deployment (1/2): CEO Mike Fries acknowledged AI is providing 'marginal but not transformative gains' in operational efficiency and customer experience, with the company investing in workforce AI skills development through cross-functional programs, but no AI products are shipping to customers for revenue [4]. Market Share Leadership (1/2): Liberty Global holds meaningful fixed broadband market positions in Belgium (Telenet), Ireland (Virgin Media), and Slovakia, but is a sub-scale player in the broader European telecom landscape competing against Deutsche Telekom, Vodafone, and Orange [1]. Product Pipeline (1/2): The Horizon 5 cloud-based entertainment platform and ONE Connect WiFi gateway represent incremental product evolution, but no next-generation products with specific launch dates or revenue visibility have been announced [1]. R&amp;D Intensity (0/1): Telecom operators typically invest heavily in network capex but minimal R&amp;D; Liberty Global reports no standalone R&amp;D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Global's stated purpose of 'connecting people and communities through technology' is generic and interchangeable with virtually any telecom operator worldwide — it does not articulate a distinctive vision or inspire beyond the obvious [5]. Community &amp; Charitable Impact (1/2): The company's 2023 People Planet Progress Report documents sustainability programs including Science-based carbon reduction targets (A-rating from CDP, 97th percentile Dow Jones Sustainability Index), but these are primarily environmental compliance rather than community-focused charitable investment [6]. Employee Retention &amp; Tenure (0/2): With 6,636 employees and ongoing restructuring, no specific retention or tenure data is available; Glassdoor data was not found in searches [4]. Insider Buying (1/2): Liberty Global's 2026 executive compensation ties performance awards to share price appreciation and venture growth metrics, suggesting management alignment with shareholder value, but no specific insider purchase data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available metrics. D/E of 97.2% scores 0.88 (moderate leverage for a capital-intensive telecom). ROE of -63.1% scores 0.0 (deeply unprofitable, 2x weight for growth). Revenue Growth YoY of 9.6% scores 0.99 (near 10% target, driven by consolidation effects). Forward P/E is negative (unprofitable) and excluded. Profit margin of -146.3% scores 0.0 (massive net losses driven by asset impairments and restructuring charges). PEG and 5yr Revenue CAGR unavailable due to portfolio restructuring. Weighted sum of 1.87 across 5 weight units yields 3.7, rounding to 4/10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Global operates with a predominantly finite mindset focused on financial engineering, asset transactions, and shareholder value extraction. CEO Mike Fries' 35-year tenure provides leadership continuity, but the company's strategy of serial M&amp;A, portfolio restructuring, and cost-cutting reflects a play-to-win-this-quarter mentality rather than building an enduring institution with a clear purpose beyond profit.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Liberty Global's purpose of 'connecting people through technology' is shallow and interchangeable with any telecom peer. The company's strategic identity is defined by financial transactions — JVs with Telefonica, mergers with Sunrise, potential asset dispositions — rather than a durable vision that shapes decisions. When the defining narrative is about portfolio optimization and shareholder returns, Sinek would identify this as a finite player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Mike Fries' 35-year industry tenure and long leadership of Liberty Global provides organizational stability. The company's cross-functional AI and sustainability councils suggest some investment in team development. However, ongoing restructuring, headcount at 6,636 (reduced from larger levels following divestitures), and the financial engineering-driven culture may create uncertainty for employees [4][6].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Liberty Global's competitive language focuses on market positioning, deal-making, and 'value-creating transactions' rather than learning from competitors' strengths. The company frames competition in finite terms of market share and asset value rather than using rivals as motivation for self-improvement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Global has repeatedly restructured its portfolio — selling Swiss operations, forming the VMO2 JV, focusing on core European markets — demonstrating willingness to abandon business lines. However, these pivots are driven by financial optimization rather than a Just Cause, which is incremental adaptation rather than transformative reinvention in Sinek's framework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Liberty Global's leadership has consistently prioritized financial engineering over long-term capability building — share buybacks, leveraged acquisitions, and portfolio transactions dominate the strategic narrative. The massive -146% profit margin driven by asset impairments suggests past investments have not been maintained, and there is no evidence of sacrificing short-term results for long-term capability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Global offers deep value exposure to European broadband infrastructure at a $4.1B market cap against $21.6B in aggregate telecom revenues and a $3.4B investment portfolio, with CEO Mike Fries executing 2026 performance metrics tied to share price appreciation and venture growth [1][3]. Revenue grew 9.6% YoY, and the company's fixed broadband networks in Belgium, Ireland, and Slovakia represent essential infrastructure with regulatory barriers to entry that should benefit from increasing AI-driven bandwidth demand.</w:t>
      </w:r>
    </w:p>
    <w:p>
      <w:pPr>
        <w:spacing w:after="120"/>
      </w:pPr>
      <w:r>
        <w:rPr>
          <w:rFonts w:ascii="Calibri" w:hAnsi="Calibri"/>
          <w:b w:val="0"/>
          <w:color w:val="3A4A28"/>
          <w:sz w:val="20"/>
        </w:rPr>
        <w:t>The bear case is severe: Liberty Global posted a -146.3% profit margin driven by massive asset impairments and restructuring charges, with ROE of -63% and negative free cash flow of $401M [2]. The company's history of financial engineering — serial M&amp;A, leveraged structures, complex holding company arrangements — has destroyed shareholder value over the past decade (stock down ~60% from 2015 highs). European telecom is a structurally low-growth, heavily regulated market, and the 'Sexually Explicit' content attribution in Inspire scoring reflects content distribution risks. Q4 2025 EPS missed consensus by $8.14, and with D/E of 97%, the balance sheet offers limited flexibility for further transactions.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simplification and potential asset sales from the $3.4B investment portfolio could unlock hidden value and fund share buybacks at the current depressed $4.1B market cap [1]</w:t>
      </w:r>
    </w:p>
    <w:p>
      <w:pPr>
        <w:spacing w:before="40" w:after="40"/>
        <w:ind w:left="283"/>
      </w:pPr>
      <w:r>
        <w:rPr>
          <w:rFonts w:ascii="Calibri" w:hAnsi="Calibri"/>
          <w:b/>
          <w:color w:val="4A6B25"/>
          <w:sz w:val="20"/>
        </w:rPr>
        <w:t xml:space="preserve">2. </w:t>
      </w:r>
      <w:r>
        <w:rPr>
          <w:rFonts w:ascii="Calibri" w:hAnsi="Calibri"/>
          <w:b w:val="0"/>
          <w:color w:val="3A4A28"/>
          <w:sz w:val="20"/>
        </w:rPr>
        <w:t>European fiber-to-the-home (FTTH) network upgrades across Belgium, Ireland, and Slovakia could drive ARPU growth as AI applications demand higher-bandwidth connections [1][4]</w:t>
      </w:r>
    </w:p>
    <w:p>
      <w:pPr>
        <w:spacing w:before="40" w:after="40"/>
        <w:ind w:left="283"/>
      </w:pPr>
      <w:r>
        <w:rPr>
          <w:rFonts w:ascii="Calibri" w:hAnsi="Calibri"/>
          <w:b/>
          <w:color w:val="4A6B25"/>
          <w:sz w:val="20"/>
        </w:rPr>
        <w:t xml:space="preserve">3. </w:t>
      </w:r>
      <w:r>
        <w:rPr>
          <w:rFonts w:ascii="Calibri" w:hAnsi="Calibri"/>
          <w:b w:val="0"/>
          <w:color w:val="3A4A28"/>
          <w:sz w:val="20"/>
        </w:rPr>
        <w:t>2026 executive compensation restructuring ties management incentives directly to share price appreciation, potentially aligning leadership decisions with shareholder value creation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-146.3% profit margin, -63% ROE, and -$401M free cash flow driven by asset impairments and restructuring charges that may continue as the portfolio transformation proceeds [2]</w:t>
      </w:r>
    </w:p>
    <w:p>
      <w:pPr>
        <w:spacing w:before="40" w:after="40"/>
        <w:ind w:left="283"/>
      </w:pPr>
      <w:r>
        <w:rPr>
          <w:rFonts w:ascii="Calibri" w:hAnsi="Calibri"/>
          <w:b/>
          <w:color w:val="4A6B25"/>
          <w:sz w:val="20"/>
        </w:rPr>
        <w:t xml:space="preserve">2. </w:t>
      </w:r>
      <w:r>
        <w:rPr>
          <w:rFonts w:ascii="Calibri" w:hAnsi="Calibri"/>
          <w:b w:val="0"/>
          <w:color w:val="3A4A28"/>
          <w:sz w:val="20"/>
        </w:rPr>
        <w:t>European telecom regulatory headwinds including price caps, open-access network requirements, and competitive mandates that structurally limit pricing power and margin expansion [1]</w:t>
      </w:r>
    </w:p>
    <w:p>
      <w:pPr>
        <w:spacing w:before="40" w:after="40"/>
        <w:ind w:left="283"/>
      </w:pPr>
      <w:r>
        <w:rPr>
          <w:rFonts w:ascii="Calibri" w:hAnsi="Calibri"/>
          <w:b/>
          <w:color w:val="4A6B25"/>
          <w:sz w:val="20"/>
        </w:rPr>
        <w:t xml:space="preserve">3. </w:t>
      </w:r>
      <w:r>
        <w:rPr>
          <w:rFonts w:ascii="Calibri" w:hAnsi="Calibri"/>
          <w:b w:val="0"/>
          <w:color w:val="3A4A28"/>
          <w:sz w:val="20"/>
        </w:rPr>
        <w:t>Complex holding company structure with Bermuda domicile, multiple JVs (VMO2), and minority investments creates opacity that discourages institutional investors and suppresses valuation multiples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Liberty Global's core business operates physical broadband, cable, and fiber network infrastructure that AI cannot replace — network maintenance, spectrum management, and last-mile connectivity require physical plant and regulatory licenses that create structural protection against AI disruption [1]. However, AI poses moderate disruption risk to the company's content aggregation and customer service operations, as AI-powered entertainment recommendations (Netflix, YouTube) reduce the value of Liberty Global's bundled video offerings, and AI chatbots could commoditize customer support. The European telecom market's heavy regulation provides additional defensive moats against AI-native entrants [4]. AI Opportunity (1/1): AI demand is driving increased broadband consumption as households and businesses require higher bandwidth for AI applications, cloud computing, and streaming — directly benefiting Liberty Global's fixed-line infrastructure. CEO Fries has acknowledged AI as an enabler for network optimization and customer experience, generating early operational savings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Global Q4 2025 Earnings Release and Investor Presentation,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LBTYA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StockTitan — 'Liberty Global ties 2026 executive pay to share price and venture growth,' SEC 8-K filing, 2026</w:t>
      </w:r>
    </w:p>
    <w:p>
      <w:pPr>
        <w:spacing w:before="20" w:after="20"/>
        <w:ind w:left="170"/>
      </w:pPr>
      <w:r>
        <w:rPr>
          <w:rFonts w:ascii="Calibri" w:hAnsi="Calibri"/>
          <w:b/>
          <w:color w:val="4A6B25"/>
          <w:sz w:val="15"/>
        </w:rPr>
        <w:t xml:space="preserve">4. </w:t>
      </w:r>
      <w:r>
        <w:rPr>
          <w:rFonts w:ascii="Calibri" w:hAnsi="Calibri"/>
          <w:b w:val="0"/>
          <w:color w:val="3A4A28"/>
          <w:sz w:val="17"/>
        </w:rPr>
        <w:t>Mobile World Live — 'Liberty Global CEO lifts lid on early AI impact,' 2025</w:t>
      </w:r>
    </w:p>
    <w:p>
      <w:pPr>
        <w:spacing w:before="20" w:after="20"/>
        <w:ind w:left="170"/>
      </w:pPr>
      <w:r>
        <w:rPr>
          <w:rFonts w:ascii="Calibri" w:hAnsi="Calibri"/>
          <w:b/>
          <w:color w:val="4A6B25"/>
          <w:sz w:val="15"/>
        </w:rPr>
        <w:t xml:space="preserve">5. </w:t>
      </w:r>
      <w:r>
        <w:rPr>
          <w:rFonts w:ascii="Calibri" w:hAnsi="Calibri"/>
          <w:b w:val="0"/>
          <w:color w:val="3A4A28"/>
          <w:sz w:val="17"/>
        </w:rPr>
        <w:t>Liberty Global website — company mission and about page,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Liberty Global 2023 People Planet Progress Report — ESG metrics and sustainability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