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LBTYK</w:t>
      </w:r>
      <w:r>
        <w:rPr>
          <w:rFonts w:ascii="Calibri" w:hAnsi="Calibri"/>
          <w:b/>
          <w:color w:val="1A2010"/>
          <w:sz w:val="40"/>
        </w:rPr>
        <w:t xml:space="preserve">  Liberty Global Ltd.</w:t>
      </w:r>
    </w:p>
    <w:p>
      <w:pPr>
        <w:spacing w:after="120"/>
      </w:pPr>
      <w:r>
        <w:rPr>
          <w:rFonts w:ascii="Calibri" w:hAnsi="Calibri"/>
          <w:b/>
          <w:color w:val="6E8450"/>
          <w:sz w:val="18"/>
        </w:rPr>
        <w:t>GROWTH SLEEVE · 2026-05-02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Liberty Global Ltd. is an international television and broadband internet company providing advanced video, broadband internet, fixed-line telephony, and mobile services primarily across Europe. The company operates through Liberty Telecom, Liberty Growth, and Liberty Corporate segments, with major operations including VodafoneZiggo (Netherlands) and Telenet (Belgium).</w:t>
      </w:r>
    </w:p>
    <w:p>
      <w:r>
        <w:rPr>
          <w:rFonts w:ascii="Calibri" w:hAnsi="Calibri"/>
          <w:b/>
          <w:color w:val="6E8450"/>
          <w:sz w:val="18"/>
        </w:rPr>
        <w:t>6,636 Employees · https://www.libertyglobal.com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Liberty Global is deploying AI through its Agent Assist platform for call center automation and a group-wide AI strategy led by a dedicated 'dream team' to equip leaders and employees for AI-driven process changes [2]. Q1 2026 showed sequential broadband net add improvement with VodafoneZiggo and Telenet achieving best performance in years [1]. However, core broadband/cable infrastructure is a mature, commoditizing market with limited scope for breakthrough innovation, and the company's R&amp;D intensity is low relative to pure technology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(3.3/5 culture, 3.3/5 career opportunities) reveal a corporate, political, and top-down culture with senior management described as 'completely disconnected from the workforce' [3]. The ongoing restructuring eliminating ~800 corporate jobs from a base of 1,900 signals painful organizational contraction [4]. While 63% of employees would recommend the company to a friend, leadership's 'yes men in a brutalist style' characterization undermines inspirational purpose.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Liberty Global remains deeply unprofitable with -109.7% profit margin, -48% ROE, and EPS of -$20.86 reflecting massive write-downs and restructuring charges [2]. Reported revenue of $1.27B in Q1 2026 grew 8.8% YoY, but organic service revenue declined 3-5% when adjusted for acquisitions [1]. D/E of 94.1% represents significant leverage for a cash-burning operation. Forward P/E is negative, indicating analysts expect continued losses. The stock trades at $11.77 versus significant net asset value, but operational turnaround remains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Liberty Global's current trajectory reflects finite game thinking — restructuring layoffs, complex holding company structures obscuring value, organic revenue declines masked by M&amp;A, and leadership described as disconnected from the workforce [3][4]. The company plays to survive in a declining traditional cable market rather than to lead an industry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Liberty Global's stated purpose of 'harnessing technology to create a better world' lacks conviction when juxtaposed with organic service revenue declines of 3-5% and mass layoffs eliminating ~40% of corporate staff [1][4]. The cause reads as corporate boilerplate rather than a genuine north star driving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elimination of 800 jobs from 1,900 corporate staff signals severe trust erosion [4]. Glassdoor reviews describe senior management as 'completely disconnected with the workforce' operating in a 'brutalist style,' with the Executive Leadership Team growing 'cold during reorganization' [3]. These indicators suggest a low-trust environment where employees operate in survival mode rather than collaborative innovation.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Liberty Global competes against Deutsche Telekom, Vodafone, and fiber overbuilders across European markets. The VodafoneZiggo joint venture and Telenet acquisitions show willingness to partner and consolidate, though the primary strategy appears defensive (protecting market share through M&amp;A) rather than using rivals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restructuring into Liberty Telecom, Liberty Growth, and Liberty Corporate segments represents an attempt to unlock value and pivot toward higher-growth adjacencies [1]. However, the complex holding structure with multiple tracking stocks obscures strategy rather than enabling nimble adaptation. The company has been in perpetual 'transformation' for years without achieving sustained organic growth.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executed painful restructuring decisions and maintained 2026 guidance despite organic declines, showing some operational courage [1]. However, the reluctance to simplify the corporate structure, repeated reliance on M&amp;A over organic innovation, and mass layoffs suggest reactionary cost-cutting rather than bold vision for industry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Global trades at a significant discount to net asset value with its sum-of-parts potentially worth multiples of the $11.77 share price, creating a deep value setup for patient investors willing to tolerate operational complexity. Q1 2026 reported revenue growth of 8.8% and sequential broadband improvement at VodafoneZiggo and Telenet suggest commercial stabilization [1].</w:t>
      </w:r>
    </w:p>
    <w:p>
      <w:pPr>
        <w:spacing w:after="120"/>
      </w:pPr>
      <w:r>
        <w:rPr>
          <w:rFonts w:ascii="Calibri" w:hAnsi="Calibri"/>
          <w:b w:val="0"/>
          <w:color w:val="3A4A28"/>
          <w:sz w:val="20"/>
        </w:rPr>
        <w:t>However, the thesis requires tolerance for sustained GAAP losses (-109% profit margin), organic revenue declines of 3-5%, heavy debt (D/E 94%), and a massive corporate restructuring eliminating 40% of headquarters staff [4]. The complex holding structure with multiple share classes obscures value realization, and leadership culture issues create execution risk. This is a deep value/special situation play that demands conviction in management's ability to simplify and unlock trapped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corporate restructuring unlocking sum-of-parts value from Liberty Telecom, Liberty Growth, and Liberty Corporate segments</w:t>
      </w:r>
    </w:p>
    <w:p>
      <w:pPr>
        <w:spacing w:before="40" w:after="40"/>
        <w:ind w:left="283"/>
      </w:pPr>
      <w:r>
        <w:rPr>
          <w:rFonts w:ascii="Calibri" w:hAnsi="Calibri"/>
          <w:b/>
          <w:color w:val="4A6B25"/>
          <w:sz w:val="20"/>
        </w:rPr>
        <w:t xml:space="preserve">2. </w:t>
      </w:r>
      <w:r>
        <w:rPr>
          <w:rFonts w:ascii="Calibri" w:hAnsi="Calibri"/>
          <w:b w:val="0"/>
          <w:color w:val="3A4A28"/>
          <w:sz w:val="20"/>
        </w:rPr>
        <w:t>Continued broadband net add improvement at VodafoneZiggo and Telenet demonstrating commercial turnaround from multi-year subscriber declines</w:t>
      </w:r>
    </w:p>
    <w:p>
      <w:pPr>
        <w:spacing w:before="40" w:after="40"/>
        <w:ind w:left="283"/>
      </w:pPr>
      <w:r>
        <w:rPr>
          <w:rFonts w:ascii="Calibri" w:hAnsi="Calibri"/>
          <w:b/>
          <w:color w:val="4A6B25"/>
          <w:sz w:val="20"/>
        </w:rPr>
        <w:t xml:space="preserve">3. </w:t>
      </w:r>
      <w:r>
        <w:rPr>
          <w:rFonts w:ascii="Calibri" w:hAnsi="Calibri"/>
          <w:b w:val="0"/>
          <w:color w:val="3A4A28"/>
          <w:sz w:val="20"/>
        </w:rPr>
        <w:t>Potential asset sales, IPOs, or strategic transactions within the Liberty Growth portfolio crystallizing net asset value for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service revenue declining 3-5% YoY indicates fundamental demand erosion in core cable/broadband markets that restructuring alone cannot fix</w:t>
      </w:r>
    </w:p>
    <w:p>
      <w:pPr>
        <w:spacing w:before="40" w:after="40"/>
        <w:ind w:left="283"/>
      </w:pPr>
      <w:r>
        <w:rPr>
          <w:rFonts w:ascii="Calibri" w:hAnsi="Calibri"/>
          <w:b/>
          <w:color w:val="4A6B25"/>
          <w:sz w:val="20"/>
        </w:rPr>
        <w:t xml:space="preserve">2. </w:t>
      </w:r>
      <w:r>
        <w:rPr>
          <w:rFonts w:ascii="Calibri" w:hAnsi="Calibri"/>
          <w:b w:val="0"/>
          <w:color w:val="3A4A28"/>
          <w:sz w:val="20"/>
        </w:rPr>
        <w:t>Massive GAAP losses (EPS -$20.86) and high leverage (D/E 94%) create financial fragility with limited margin for further operational deterioration</w:t>
      </w:r>
    </w:p>
    <w:p>
      <w:pPr>
        <w:spacing w:before="40" w:after="40"/>
        <w:ind w:left="283"/>
      </w:pPr>
      <w:r>
        <w:rPr>
          <w:rFonts w:ascii="Calibri" w:hAnsi="Calibri"/>
          <w:b/>
          <w:color w:val="4A6B25"/>
          <w:sz w:val="20"/>
        </w:rPr>
        <w:t xml:space="preserve">3. </w:t>
      </w:r>
      <w:r>
        <w:rPr>
          <w:rFonts w:ascii="Calibri" w:hAnsi="Calibri"/>
          <w:b w:val="0"/>
          <w:color w:val="3A4A28"/>
          <w:sz w:val="20"/>
        </w:rPr>
        <w:t>Corporate culture collapse evidenced by 800 layoffs from 1,900 staff and 'disconnected' leadership could impair execution of complex multi-market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presents a moderate opportunity for Liberty Global through operational efficiency gains in customer service (Agent Assist platform), network optimization, and cost reduction across its European telecom operations [2]. However, AI-powered OTT services and cord-cutting trends continue to erode traditional cable TV revenues, while AI-driven network automation could commoditize broadband infrastructure further. The company's proactive AI strategy for employee upskilling suggests awareness, but telecom infrastructure faces structural challenges that AI alone cannot solve. AI Risk Protection score of 5 plus AI Opportunity tiebreaker of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Global Q1 2026 Results Press Release, GlobeNewswire, May 1,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LBTYK key statistics and analyst estimates,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 Liberty Global Employee Reviews (582 reviews),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Bloomberg Law — Liberty Global Slashes Jobs, Targeting Corporate-Level Staff,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