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LEG</w:t>
      </w:r>
      <w:r>
        <w:rPr>
          <w:rFonts w:ascii="Calibri" w:hAnsi="Calibri"/>
          <w:b/>
          <w:color w:val="1A2010"/>
          <w:sz w:val="40"/>
        </w:rPr>
        <w:t xml:space="preserve">  Leggett &amp; Platt, Incorporated</w:t>
      </w:r>
    </w:p>
    <w:p>
      <w:pPr>
        <w:spacing w:after="120"/>
      </w:pPr>
      <w:r>
        <w:rPr>
          <w:rFonts w:ascii="Calibri" w:hAnsi="Calibri"/>
          <w:b/>
          <w:color w:val="6E8450"/>
          <w:sz w:val="18"/>
        </w:rPr>
        <w:t>GROWTH SLEEVE · 2026-04-25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Furnishings, Fixtures &amp; Appliances · NYSE · United States</w:t>
      </w:r>
    </w:p>
    <w:p>
      <w:pPr>
        <w:spacing w:after="80"/>
      </w:pPr>
      <w:r>
        <w:rPr>
          <w:rFonts w:ascii="Calibri" w:hAnsi="Calibri"/>
          <w:b w:val="0"/>
          <w:color w:val="3A4A28"/>
          <w:sz w:val="20"/>
        </w:rPr>
        <w:t>Leggett &amp; Platt designs, manufactures, and sells engineered components for bedding (innersprings, specialty foam, adjustable beds), furniture (mechanisms, seat suspensions), automotive (lumbar support, seat systems), and flooring (carpet cushion, underlayment). Founded in 1883 in Carthage, Missouri, the company has been restructuring through asset divestitures including the 2025 sale of its Aerospace Products Group, and generated $4.06B in 2025 revenue.</w:t>
      </w:r>
    </w:p>
    <w:p>
      <w:r>
        <w:rPr>
          <w:rFonts w:ascii="Calibri" w:hAnsi="Calibri"/>
          <w:b/>
          <w:color w:val="6E8450"/>
          <w:sz w:val="18"/>
        </w:rPr>
        <w:t>15,900 Employees · https://www.leggett.com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Leggett &amp; Platt has experienced revenue decline for three consecutive years — from $5.15B in 2022 to $4.06B in 2025 — with no meaningful new product launches or market pivots [1]. The company sold its Aerospace Products Group in August 2025, shrinking its addressable market rather than expanding it. The business looks structurally smaller than five years ago. AI Deployment (0/2): No evidence of AI deployment in products or operations. The company has not announced any AI strategy or AI-driven efficiency programs [2]. Market Share (1/2): Leggett remains a meaningful player in bedding components (innersprings) and automotive seat systems but is not gaining share — residential markets that account for ~50% of revenue are in a 'multi-year depression' with demand well below average cycle levels [1]. Pipeline (1/2): The company's WIN 70/30 innovation strategy targets 70% internal and 30% external idea generation, but no specific next-generation products have been announced with timelines or revenue visibility [2]. R&amp;D Intensity (1/1): R&amp;D investment appears at industry average for diversified industrials, with structured innovation programs in place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Leggett &amp; Platt's purpose centers on 'creating innovative products that people need' — a generic mission interchangeable with virtually any manufacturer. The company highlights '130+ years of engineered solutions' but lacks a distinctive purpose beyond commercial success [2]. Community Impact (1/2): The company's 2024 sustainability report covers environmental stewardship, ethical conduct, and supply chain responsibilities, with a first materiality assessment conducted in 2022 [3]. Specific charitable dollar amounts or distinctive community programs are not prominently disclosed. Employee Retention (1/2): The company has 15,900 employees and describes eight 'Leggett DNA' qualities driving its culture. However, employee feedback on Comparably indicates room for improvement in Professional Development and Office Culture [2]. Insider Buying (1/2): CEO Karl Glassman and other officers received small stock awards in April 2026, but no meaningful open-market insider purchases are evident during the stock's decline from ~$50 to ~$11 [4]. This absence is concerning given the magnitude of the decline.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D/E of 161.9% scores 0.60 — elevated leverage for a shrinking business. ROE of 27.5% exceeds the 15% target (1.00, 2x weight), though this is partly flattered by the reduced equity base. Revenue growth YoY of -11.2% scores 0.29. 5yr revenue CAGR of approximately -3.0% scores 0.13 (2x weight) — persistent revenue declines. Forward P/E of 9.6 scores 1.00, reflecting the deeply discounted valuation. Profit margin of 5.8% scores 0.29 — thin margins for a manufacturer. PEG of 2.96 scores 0.02 (2x weight) — near the floor. Weighted sum 4.49/10 = 4 [5]. Liquidity floor cleared: $25.7M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Leggett &amp; Platt's 143-year history demonstrates remarkable endurance, but the company is currently playing a defensive finite game — cutting dividends, divesting businesses, and shrinking to survive rather than investing to thrive. The absence of a compelling forward-looking vision or transformative investment during this downturn suggests the company is optimizing for near-term survival over long-term capability building.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Leggett &amp; Platt's 143-year history suggests some enduring purpose, but the current articulation — 'creating innovative products that people need' — is generic and doesn't inspire sacrifice or long-term commitment [2]. The company's strategic direction is defined by what it's exiting (aerospace, dividend cuts) rather than what it's building toward. No distinctive vision of a better future is evident.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Karl Glassman provides stability, and the company identifies eight cultural 'DNA' qualities. However, headcount has declined from over 20,000 to 15,900 as businesses have been divested and restructured [2]. Employee feedback indicates room for improvement in professional development and office culture. The organization is adequate but not exceptional in trust-building.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Leggett &amp; Platt uses competitors' strengths as motivation for self-improvement. The company's competitive language focuses on maintaining market position in declining categories rather than learning from rivals who are gaining share. The bedding industry disruption by DTC brands like Casper and Purple caught Leggett off-guard.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sale of the Aerospace Products Group in August 2025 and the dramatic dividend cut from $1.82 to $0.20 represent significant strategic changes [1]. However, these moves appear driven by financial necessity rather than visionary reinvention. The company is adapting to survive but has not demonstrated a transformative pivot toward a new growth vector.</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Cutting the dividend from $1.82 (2023) to $0.20 (2025) after 50+ consecutive years of payment required genuine courage and prioritized balance sheet health over shareholder expectations [1]. The decision to divest aerospace and focus the portfolio also demonstrates willingness to make painful choices. However, these are defensive rather than offensive acts of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Leggett &amp; Platt is a deep value situation trading at 6.7x trailing earnings and 9.6x forward P/E — a historically cheap multiple for a company with 143 years of operating history and strong ROE of 27.5% [5]. The restructuring thesis has merit: the Aerospace divestiture completed in August 2025 simplifies the portfolio, the dividend cut from $1.82 to $0.20 preserves $220M+ annually for deleveraging (net leverage improved to 2.4x), and 2026 guidance for $1.00-$1.20 adjusted EPS demonstrates the core business generates meaningful earnings [1]. Non-GAAP Q4 2025 EPS of $1.05 significantly beat consensus. A residential housing recovery would be a powerful catalyst — approximately half of revenue is tied to housing and furnishings markets that are in a 'multi-year depression' with demand well below cycle averages. The low ESG controversy score (14, 9th percentile) and Inspire alignment score of 45 provide value-aligned appeal [3].</w:t>
      </w:r>
    </w:p>
    <w:p>
      <w:pPr>
        <w:spacing w:after="120"/>
      </w:pPr>
      <w:r>
        <w:rPr>
          <w:rFonts w:ascii="Calibri" w:hAnsi="Calibri"/>
          <w:b w:val="0"/>
          <w:color w:val="3A4A28"/>
          <w:sz w:val="20"/>
        </w:rPr>
        <w:t>The bear case is that Leggett is a structurally declining business in secular headwinds. Revenue has fallen 21% from $5.15B in 2022 to $4.06B in 2025, and 2026 guidance of $3.8-$4.0B implies further 1-6% decline [1]. The bedding components market faces permanent disruption from DTC mattress brands, foam alternatives to innersprings, and consolidation among mattress manufacturers. Profit margin of 5.8% is thin and deteriorating. D/E of 162% is elevated, and the $1.66B debt load constrains strategic flexibility. The dividend — once a Dividend Aristocrat with 50+ consecutive years of increases — was slashed 89%, destroying the income investment thesis that supported the stock's valuation premium for decades. No insider buying during the stock's decline from $50+ to $11 suggests insiders lack conviction [4]. The company has no AI strategy and no visible innovation pipeline to drive a return to growth [2]. This may be a value trap rather than a turnaround.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Residential housing recovery — approximately half of revenue tied to bedding and furniture markets in a multi-year depression; any normalization of housing starts drives meaningful volume recovery [1]</w:t>
      </w:r>
    </w:p>
    <w:p>
      <w:pPr>
        <w:spacing w:before="40" w:after="40"/>
        <w:ind w:left="283"/>
      </w:pPr>
      <w:r>
        <w:rPr>
          <w:rFonts w:ascii="Calibri" w:hAnsi="Calibri"/>
          <w:b/>
          <w:color w:val="4A6B25"/>
          <w:sz w:val="20"/>
        </w:rPr>
        <w:t xml:space="preserve">2. </w:t>
      </w:r>
      <w:r>
        <w:rPr>
          <w:rFonts w:ascii="Calibri" w:hAnsi="Calibri"/>
          <w:b w:val="0"/>
          <w:color w:val="3A4A28"/>
          <w:sz w:val="20"/>
        </w:rPr>
        <w:t>Deleveraging progress — dividend cut frees $220M+ annually for debt reduction, with net leverage already improving to 2.4x; reaching investment-grade metrics could re-rate the stock [1]</w:t>
      </w:r>
    </w:p>
    <w:p>
      <w:pPr>
        <w:spacing w:before="40" w:after="40"/>
        <w:ind w:left="283"/>
      </w:pPr>
      <w:r>
        <w:rPr>
          <w:rFonts w:ascii="Calibri" w:hAnsi="Calibri"/>
          <w:b/>
          <w:color w:val="4A6B25"/>
          <w:sz w:val="20"/>
        </w:rPr>
        <w:t xml:space="preserve">3. </w:t>
      </w:r>
      <w:r>
        <w:rPr>
          <w:rFonts w:ascii="Calibri" w:hAnsi="Calibri"/>
          <w:b w:val="0"/>
          <w:color w:val="3A4A28"/>
          <w:sz w:val="20"/>
        </w:rPr>
        <w:t>Restructuring earnings leverage — portfolio simplification and cost reductions could drive margin expansion; 2026 adjusted EPS guidance of $1.00-$1.20 may prove conservative if volumes stabilize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decline in bedding components — DTC mattress brands, foam alternatives to innersprings, and mattress manufacturer consolidation permanently reduce demand for Leggett's core products [1]</w:t>
      </w:r>
    </w:p>
    <w:p>
      <w:pPr>
        <w:spacing w:before="40" w:after="40"/>
        <w:ind w:left="283"/>
      </w:pPr>
      <w:r>
        <w:rPr>
          <w:rFonts w:ascii="Calibri" w:hAnsi="Calibri"/>
          <w:b/>
          <w:color w:val="4A6B25"/>
          <w:sz w:val="20"/>
        </w:rPr>
        <w:t xml:space="preserve">2. </w:t>
      </w:r>
      <w:r>
        <w:rPr>
          <w:rFonts w:ascii="Calibri" w:hAnsi="Calibri"/>
          <w:b w:val="0"/>
          <w:color w:val="3A4A28"/>
          <w:sz w:val="20"/>
        </w:rPr>
        <w:t>Elevated leverage with shrinking revenue — D/E of 162% and $1.66B total debt against declining revenue creates refinancing risk and limits strategic investment capacity [5]</w:t>
      </w:r>
    </w:p>
    <w:p>
      <w:pPr>
        <w:spacing w:before="40" w:after="40"/>
        <w:ind w:left="283"/>
      </w:pPr>
      <w:r>
        <w:rPr>
          <w:rFonts w:ascii="Calibri" w:hAnsi="Calibri"/>
          <w:b/>
          <w:color w:val="4A6B25"/>
          <w:sz w:val="20"/>
        </w:rPr>
        <w:t xml:space="preserve">3. </w:t>
      </w:r>
      <w:r>
        <w:rPr>
          <w:rFonts w:ascii="Calibri" w:hAnsi="Calibri"/>
          <w:b w:val="0"/>
          <w:color w:val="3A4A28"/>
          <w:sz w:val="20"/>
        </w:rPr>
        <w:t>Value trap risk — 21% revenue decline over three years with 2026 guidance for further contraction; absence of any growth catalyst or innovation pipeline suggests the business may continue shrinking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Leggett &amp; Platt's core business involves physical manufacturing of steel components, innersprings, foam products, and automotive seat systems — operations that require physical-world manufacturing processes AI cannot displace [1]. The bedding and furniture component markets are driven by housing cycles and consumer spending, not information goods that AI can substitute. However, AI-optimized manufacturing by competitors could erode Leggett's cost position if the company fails to adopt automation, and AI-driven direct-to-consumer mattress brands could further pressure traditional bedding channels. AI Opportunity (1/1): While the company has not announced an AI strategy [2], AI-driven manufacturing optimization and supply chain efficiency represent revenue-preserving opportunities. The automotive segment's lumbar and seat systems could integrate AI-powered comfort personalization for OEM customers, creating incremental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Leggett &amp; Platt Q4 and Full-Year 2025 Earnings Release — $4.06B revenue, $1.05 non-GAAP EPS, 2026 guidance of $3.8-$4.0B, February 2026</w:t>
      </w:r>
    </w:p>
    <w:p>
      <w:pPr>
        <w:spacing w:before="20" w:after="20"/>
        <w:ind w:left="170"/>
      </w:pPr>
      <w:r>
        <w:rPr>
          <w:rFonts w:ascii="Calibri" w:hAnsi="Calibri"/>
          <w:b/>
          <w:color w:val="4A6B25"/>
          <w:sz w:val="15"/>
        </w:rPr>
        <w:t xml:space="preserve">2. </w:t>
      </w:r>
      <w:r>
        <w:rPr>
          <w:rFonts w:ascii="Calibri" w:hAnsi="Calibri"/>
          <w:b w:val="0"/>
          <w:color w:val="3A4A28"/>
          <w:sz w:val="17"/>
        </w:rPr>
        <w:t>Leggett &amp; Platt corporate website — management team, WIN 70/30 innovation strategy, Leggett DNA culture; Comparably employee feedback</w:t>
      </w:r>
    </w:p>
    <w:p>
      <w:pPr>
        <w:spacing w:before="20" w:after="20"/>
        <w:ind w:left="170"/>
      </w:pPr>
      <w:r>
        <w:rPr>
          <w:rFonts w:ascii="Calibri" w:hAnsi="Calibri"/>
          <w:b/>
          <w:color w:val="4A6B25"/>
          <w:sz w:val="15"/>
        </w:rPr>
        <w:t xml:space="preserve">3. </w:t>
      </w:r>
      <w:r>
        <w:rPr>
          <w:rFonts w:ascii="Calibri" w:hAnsi="Calibri"/>
          <w:b w:val="0"/>
          <w:color w:val="3A4A28"/>
          <w:sz w:val="17"/>
        </w:rPr>
        <w:t>Leggett &amp; Platt 2024 Sustainability Report — ESG materiality assessment, environmental stewardship; Sustainalytics ESG Risk Score of 14</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insider transactions data for LEG,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financial data for LEG (Leggett &amp; Platt),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