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LEVI</w:t>
      </w:r>
      <w:r>
        <w:rPr>
          <w:rFonts w:ascii="Calibri" w:hAnsi="Calibri"/>
          <w:b/>
          <w:color w:val="1A2010"/>
          <w:sz w:val="40"/>
        </w:rPr>
        <w:t xml:space="preserve">  Levi Strauss &amp; Co.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2026-04-14 · Inspire: -67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Apparel Manufacturing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Levi Strauss &amp; Co. designs, markets, and sells jeans, casual and dress pants, tops, shorts, skirts, jackets, footwear, and related accessories under the Levi's, Dockers, Signature by Levi Strauss &amp; Co., Denizen, and Beyond Yoga brands.</w:t>
      </w:r>
    </w:p>
    <w:p>
      <w:r>
        <w:rPr>
          <w:rFonts w:ascii="Calibri" w:hAnsi="Calibri"/>
          <w:b/>
          <w:color w:val="6E8450"/>
          <w:sz w:val="18"/>
        </w:rPr>
        <w:t>19,700 Employees · https://www.levistrauss.com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Item 1: 2 points — meaningful DTC pivot under CEO Michelle Gass (appointed 2023), with DTC revenue forecast to exceed 50% of sales in FY26, and the 'Project Fuel' cost and operating model initiative driving Q1 FY26 +14% YoY revenue growth [1]. Item 2: 1 point — Levi's is leveraging AI tools for e-commerce personalization and consumer engagement, with double-digit e-commerce growth cited by management [1], but no quantified AI revenue savings disclosed. Item 3: 2 points — Levi's remains the category leader in global premium denim with dominant brand recognition. Item 4: 1 point — pipeline visibility limited to brand extensions (Beyond Yoga, women's apparel push); no specific product-launch dates driving multi-year revenue visibility. Item 5: 0 points — apparel R&amp;D intensity is low and not above peer average.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floor: 2 points — 'Profits Through Principles' is a long-standing and distinctive articulation of stakeholder values that predates modern ESG discourse, though some investors view its activism as brand dilutive [1]. Community impact: 2 points — the Levi Strauss Foundation has distributed $400M+ since inception to social causes, and the company has distinctive employee volunteer programs tied to its 170-year brand heritage. Employee retention: 1 point — stable but average for apparel industry; no standout retention data. Insider buying: 0 points — net insider selling common among executives post-2019 IPO; no meaningful net buying signal in 12 months. Note: Inspire Insight score is -67 indicating material faith misalignment around LGBT and abortion activism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Infrastructure calculated mechanically. D/E 105.0% is above 70% target (score 0.85). ROE excellent at 25.4% (score 1.0). Revenue YoY +14.1% (score 1.0) reflects DTC mix-shift benefit [1]. 5yr CAGR ~2% (score 0.47). Forward P/E 13.3 (score 1.0). Profit margin 9.5% (score 0.48). Dividend metrics: yield ~2.5%, payout ~41% (score 0.98), 7 consecutive years paid since 2019 IPO (score 0.70), 5 consecutive years of growth (score 0.50), 5yr dividend growth CAGR ~5% (score 0.83) — company raised dividend 5% to $0.56/year in 2026 [1]. Liquidity: 2.82M vol x $22.33 = $63M daily, well above $1M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Levi Strauss has a 170+ year history with a durable brand Just Cause, continuity through the Strauss family and stakeholder values orientation, and a legitimate DTC transformation under new CEO Michelle Gass. Infinite-game attributes are strong on heritage but the business model faces real finite-game pressure from fast fashion.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Cause: 2 weighted points — 'Profits Through Principles' is distinctive and has survived 170+ years, multiple leadership transitions, and an LBO-to-IPO cycle; genuine cause but has also generated cultural controversy that divides its customer base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Teams: 1 weighted point — stable workforce of ~19,700 with Strauss family ownership providing long-term orientation; no distinctive high-trust evidence vs. apparel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Rivals: 0 weighted points — CEO commentary tends toward brand-centric messaging rather than explicit learning from competitors; Shein/Temu are framed more as threats to respond to than worthy rivals to learn from.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Flexibility: 1 weighted point — Levi's has repeatedly reinvented itself (workwear to fashion to premium denim to lifestyle), though recent pivots have been incremental vs. transformative.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Lead: 1 weighted point — DTC pivot under Michelle Gass accepts wholesale revenue disruption for long-term margin and customer relationship quality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Levi Strauss is executing the best denim brand transformation in years, with Q1 FY26 net revenues up 14% YoY, raised FY26 revenue guidance to 5.5-6.5%, and DTC forecast to exceed 50% of sales under CEO Michelle Gass [1]. The company raised its dividend 5% to $0.56/year and delivered 25.4% ROE on improving margins. Forward P/E of 13.3 and a 2.5% dividend yield with 7 years of paid dividends position LEVI as an attractive defensive cyclical. 170-year brand heritage provides pricing power that fast-fashion competitors cannot replicate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case: apparel is structurally slow-growing (5yr revenue CAGR ~2%), Shein/Temu/fast-fashion pressure the lower-priced denim price points, and the brand's explicit political activism (Inspire Insight -67) alienates meaningful portions of the US customer base [2]. D/E of 105% is elevated, tariff and China sourcing exposure is material, and the DTC pivot requires sustained capex. Any consumer recession would pressure premium denim discretionary spend.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DTC mix crossing 50% of sales in FY26 expanding gross margin by 100-200 bps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'Project Fuel' operating leverage and international premium denim momentum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Dividend growth extending beyond 5-year streak as payout ratio sits comfortable at 41%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Fast-fashion (Shein, Temu) competitive pressure on lower-priced Levi's and Signature segments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Tariff exposure on Vietnam/Mexico sourcing if trade policy tightens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Faith misalignment (Inspire -67) driven by stated corporate positions on abortion and LGBT activism alienating a portion of customer base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Apparel retail sits in the middle of the AI risk spectrum. Physical products, physical manufacturing, and physical retail stores are not substitutable by AI — people still need to wear jeans. But AI is meaningfully disrupting the customer acquisition, marketing, and fast-fashion competitive dynamics (Shein, Temu use AI-driven supply chain to compete on speed and price). Management is using AI tools to drive e-commerce engagement with double-digit e-commerce growth in Q1 FY26 [1]. AI Risk Protection: 5 points (EXPOSED — defensible physical product but AI-enabled fast fashion competition pressures demand and marketing economics). AI Opportunity: 0 points — e-commerce AI tooling is incremental, not meaningful AI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Levi Strauss Q1 FY2026 Earnings Release and Call Transcript, April 2026 (CNBC, Motley Fool, Investor Relations)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'Levi Strauss raises FY26 outlook after strong first-quarter performance',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— LEVI key statistics and dividend history,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