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LFST</w:t>
      </w:r>
      <w:r>
        <w:rPr>
          <w:rFonts w:ascii="Calibri" w:hAnsi="Calibri"/>
          <w:b/>
          <w:color w:val="1A2010"/>
          <w:sz w:val="40"/>
        </w:rPr>
        <w:t xml:space="preserve">  LifeStance Health Group, Inc.</w:t>
      </w:r>
    </w:p>
    <w:p>
      <w:pPr>
        <w:spacing w:after="120"/>
      </w:pPr>
      <w:r>
        <w:rPr>
          <w:rFonts w:ascii="Calibri" w:hAnsi="Calibri"/>
          <w:b/>
          <w:color w:val="6E8450"/>
          <w:sz w:val="18"/>
        </w:rPr>
        <w:t>GROWTH SLEEVE · 2026-04-16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LifeStance Health Group operates the largest outpatient mental health platform in the United States, providing psychiatric evaluations, psychological testing, and individual/family/group therapy through over 8,000 clinicians across approximately 550 centers. Services are delivered both in-person and via telehealth, treating conditions including anxiety, depression, bipolar disorder, and PTSD.</w:t>
      </w:r>
    </w:p>
    <w:p>
      <w:r>
        <w:rPr>
          <w:rFonts w:ascii="Calibri" w:hAnsi="Calibri"/>
          <w:b/>
          <w:color w:val="6E8450"/>
          <w:sz w:val="18"/>
        </w:rPr>
        <w:t>10,961 Employees · https://lifestance.com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LifeStance scaled from IPO in 2021 to ~$1.42B revenue in 2025 through aggressive center expansion and clinician recruitment, but this is a rollup growth model rather than product innovation [1]. The company achieved its first year of GAAP profitability in 2025 with $11.7M net income [1]. AI Deployment (1/2): LifeStance is deploying AI tools in revenue cycle management, patient scheduling, and clinician documentation; CEO Bourdon acknowledged the company is 'incredibly inefficient' with technology and is actively investing to close the gap [2]. AI tools expected to yield productivity gains from 2026 onward. Market Share (1/2): LifeStance is the largest pure-play outpatient mental health provider in the U.S., but mental health is highly fragmented — the company has meaningful scale but not dominant market share [1]. Pipeline (0/2): No next-generation products announced with specific timelines; growth is driven by center openings (20-30 planned for 2026) and clinician recruitment rather than product pipeline [1]. R&amp;D Intensity (1/1): Investment in EHR modernization, AI tools, and measurement-informed care platform is above average for mental health services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LifeStance's mission to 'help people lead healthier, more fulfilling lives by improving access to trusted, affordable, and personalized mental healthcare' is specific, thoughtful, and connects the company's work to addressing the mental health crisis in America [3]. The vision of 'a truly healthy society where mental and physical healthcare are unified' is genuinely aspirational. However, the company is only 9 years old and the mission hasn't been tested through crisis or multi-decade consistency. Community Impact (1/2): LifeStance employs over 8,000 clinicians providing mental health care across 550+ locations, expanding access to underserved communities [3]. The mental health services mission itself constitutes meaningful community impact. Employee Retention (0/2): Glassdoor rating of 3.3/5 with only 52% recommendation rate is below average; reviews cite concerns about senior leadership communication and career development [2]. High clinician turnover is an industry-wide challenge. Insider Buying (1/2): Significant net insider selling — 12 insider sells vs. 1 buy in the past year, including TPG fund selling 20.7M shares in March 2026 [4]. However, the $100M buyback authorization signals board confidence in intrinsic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LifeStance passes the liquidity floor ($6.55 × 2.2M avg vol = $14.4M daily). D/E of 31.2% is conservative, reflecting manageable leverage with $474M debt against $249M cash [5]. ROE of 0.65% is extremely weak as the company only just turned GAAP-profitable in 2025 with $11.7M net income on $1.42B revenue [1]. Revenue growth of 17.4% YoY and ~25% 5yr CAGR demonstrate strong topline momentum [1]. Forward P/E of 17.1x is attractive for a company growing revenue 13-16% with expanding margins [1]. Profit margin of 0.68% is near-breakeven on a GAAP basis, though adjusted EBITDA margin is improving toward the $185-205M guidance range for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LifeStance has a genuine mission to improve mental health access, but the company's PE-backed origins (TPG Capital) and aggressive rollup growth model raise questions about whether it is playing an infinite game or executing a financial playbook. The recent CEO transition (Dave Bourdon appointed March 2025), continued TPG share sales, and Glassdoor culture concerns suggest the company is still finding its identity.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LifeStance's mission to improve mental health access is authentic and connects to a genuine societal need — America's mental health crisis is well-documented [3]. The vision of unifying mental and physical healthcare is aspirational. However, the company was founded in 2017 by private equity (TPG Capital) and the cause hasn't been tested through crisis or leadership transition; new CEO Bourdon was just appointed in March 2025 [2]. Whether the mission drives strategic decisions or is primarily marketing remains to be proven.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(0/2). Glassdoor rating of 3.3/5 with only 52% recommendation rate is concerning [2]. Employee reviews cite poor communication from senior leadership, limited career development, and management issues. The CEO transition in March 2025 adds organizational instability. Clinician turnover is an ongoing industry challenge, and LifeStance's rapid growth-by-acquisition model creates integration friction that can erode trust within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LifeStance positions itself as the largest outpatient mental health provider and competes primarily on scale and access — the language is about being 'the largest' and 'the most accessible' rather than learning from rivals [3]. CEO Bourdon characterized large mental health company valuations as 'dislocated from reality,' suggesting a competitive rather than improvement-oriented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LifeStance has adapted from a purely in-person model to a hybrid in-person/telehealth platform, a meaningful evolution accelerated by COVID-19 [3]. The company is now investing in AI-driven operations, EHR modernization, and measurement-informed care as the next evolution [2]. These are incremental adaptations rather than transformative pivots, but show responsiveness to changing healthcare delivery models.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The $100M buyback authorization while the company is barely GAAP-profitable signals confidence in intrinsic value [1]. The acknowledgment by CEO Bourdon that the company is 'incredibly inefficient' and needs significant technology investment demonstrates honest self-assessment and willingness to invest in long-term capability rather than optimizing near-term margins [2]. However, the PE-origin and continued TPG selling suggest financial engineering priorities.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LifeStance Health is the largest outpatient mental health platform in the U.S. at an inflection point — FY2025 revenue grew 14% to $1.42B with the company achieving its first year of GAAP profitability ($11.7M net income) [1]. FY2026 guidance of $1.615-1.655B revenue (13-16% growth) with adjusted EBITDA of $185-205M (17-30% growth) signals accelerating margin expansion as the platform scales [1]. At 17.1x forward P/E, the stock is attractively valued for a healthcare services company with double-digit revenue growth and significant margin expansion runway. The mental health demand tailwind is secular — growing awareness, insurance parity laws, and persistent provider shortages support multi-year volume growth. The $100M buyback and planned 20-30 new centers in 2026 demonstrate capital allocation discipline [1].</w:t>
      </w:r>
    </w:p>
    <w:p>
      <w:pPr>
        <w:spacing w:after="120"/>
      </w:pPr>
      <w:r>
        <w:rPr>
          <w:rFonts w:ascii="Calibri" w:hAnsi="Calibri"/>
          <w:b w:val="0"/>
          <w:color w:val="3A4A28"/>
          <w:sz w:val="20"/>
        </w:rPr>
        <w:t>The bear case centers on profitability sustainability and execution risk under new leadership. GAAP profit margin of just 0.68% leaves no room for error — any reimbursement pressure, clinician wage inflation, or demand softening could push the company back into losses [5]. CEO Dave Bourdon was appointed only in March 2025, creating leadership transition risk during a critical scaling phase [2]. TPG Capital entities sold 20.7M shares in March 2026, signaling the PE sponsor's desire to exit, which creates persistent share overhang and dilution pressure [4]. Glassdoor rating of 3.3/5 with 52% recommendation rate suggests cultural challenges that could impair clinician recruitment and retention — the company's most critical competitive lever. The rollup model carries integration risk, and 'incredibly inefficient' technology infrastructure (CEO's own words) means significant investment is needed before AI/technology benefits materialize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inflection — adjusted EBITDA guidance of $185-205M for 2026 represents 17-30% growth as operational leverage improves on a maturing center base [1]</w:t>
      </w:r>
    </w:p>
    <w:p>
      <w:pPr>
        <w:spacing w:before="40" w:after="40"/>
        <w:ind w:left="283"/>
      </w:pPr>
      <w:r>
        <w:rPr>
          <w:rFonts w:ascii="Calibri" w:hAnsi="Calibri"/>
          <w:b/>
          <w:color w:val="4A6B25"/>
          <w:sz w:val="20"/>
        </w:rPr>
        <w:t xml:space="preserve">2. </w:t>
      </w:r>
      <w:r>
        <w:rPr>
          <w:rFonts w:ascii="Calibri" w:hAnsi="Calibri"/>
          <w:b w:val="0"/>
          <w:color w:val="3A4A28"/>
          <w:sz w:val="20"/>
        </w:rPr>
        <w:t>AI and EHR modernization investments expected to drive clinician productivity gains and administrative cost reduction from 2026 onward, potentially accelerating the path to meaningful GAAP profitability [2]</w:t>
      </w:r>
    </w:p>
    <w:p>
      <w:pPr>
        <w:spacing w:before="40" w:after="40"/>
        <w:ind w:left="283"/>
      </w:pPr>
      <w:r>
        <w:rPr>
          <w:rFonts w:ascii="Calibri" w:hAnsi="Calibri"/>
          <w:b/>
          <w:color w:val="4A6B25"/>
          <w:sz w:val="20"/>
        </w:rPr>
        <w:t xml:space="preserve">3. </w:t>
      </w:r>
      <w:r>
        <w:rPr>
          <w:rFonts w:ascii="Calibri" w:hAnsi="Calibri"/>
          <w:b w:val="0"/>
          <w:color w:val="3A4A28"/>
          <w:sz w:val="20"/>
        </w:rPr>
        <w:t>Secular mental health demand tailwind with growing insurance parity and provider shortage supporting multi-year volume growth across 550+ center network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Near-breakeven GAAP profitability (0.68% margin) provides no margin of safety against reimbursement pressure, clinician wage inflation, or volume softening [5]</w:t>
      </w:r>
    </w:p>
    <w:p>
      <w:pPr>
        <w:spacing w:before="40" w:after="40"/>
        <w:ind w:left="283"/>
      </w:pPr>
      <w:r>
        <w:rPr>
          <w:rFonts w:ascii="Calibri" w:hAnsi="Calibri"/>
          <w:b/>
          <w:color w:val="4A6B25"/>
          <w:sz w:val="20"/>
        </w:rPr>
        <w:t xml:space="preserve">2. </w:t>
      </w:r>
      <w:r>
        <w:rPr>
          <w:rFonts w:ascii="Calibri" w:hAnsi="Calibri"/>
          <w:b w:val="0"/>
          <w:color w:val="3A4A28"/>
          <w:sz w:val="20"/>
        </w:rPr>
        <w:t>TPG Capital PE sponsor exit — 20.7M share sale in March 2026 creates persistent share overhang and dilution risk; 12 insider sells vs. 1 buy in the past year signals weak insider conviction [4]</w:t>
      </w:r>
    </w:p>
    <w:p>
      <w:pPr>
        <w:spacing w:before="40" w:after="40"/>
        <w:ind w:left="283"/>
      </w:pPr>
      <w:r>
        <w:rPr>
          <w:rFonts w:ascii="Calibri" w:hAnsi="Calibri"/>
          <w:b/>
          <w:color w:val="4A6B25"/>
          <w:sz w:val="20"/>
        </w:rPr>
        <w:t xml:space="preserve">3. </w:t>
      </w:r>
      <w:r>
        <w:rPr>
          <w:rFonts w:ascii="Calibri" w:hAnsi="Calibri"/>
          <w:b w:val="0"/>
          <w:color w:val="3A4A28"/>
          <w:sz w:val="20"/>
        </w:rPr>
        <w:t>Leadership transition risk with CEO Bourdon appointed March 2025 combined with below-average employee satisfaction (3.3/5 Glassdoor, 52% recommendation) threatens clinician retention in a labor-constrained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LifeStance's core business — in-person and telehealth mental health therapy — involves deeply personal human interaction that AI cannot fully replicate [2]. Licensed clinicians conducting therapy sessions, psychiatric evaluations, and medication management require human judgment, empathy, and regulatory licensure that creates a structural moat against AI substitution. However, AI therapy chatbots (Woebot, Talkspace AI features) represent a partial substitution risk for lower-acuity patients, and AI-driven scheduling, documentation, and triage could reduce the need for support staff. Analysts generally view mental health as AI-resilient due to the relationship-dependent nature of treatment. AI Opportunity (1/1): LifeStance is actively deploying AI in revenue cycle management, patient scheduling, and clinician documentation to improve operational efficiency; management expects meaningful productivity gains from 2026 AI/EHR investments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LifeStance Health Q4 and Full Year 2025 Earnings Release — $1.42B revenue, $11.7M net income, FY2026 guidance $1.615-1.655B, February 25, 2026</w:t>
      </w:r>
    </w:p>
    <w:p>
      <w:pPr>
        <w:spacing w:before="20" w:after="20"/>
        <w:ind w:left="170"/>
      </w:pPr>
      <w:r>
        <w:rPr>
          <w:rFonts w:ascii="Calibri" w:hAnsi="Calibri"/>
          <w:b/>
          <w:color w:val="4A6B25"/>
          <w:sz w:val="15"/>
        </w:rPr>
        <w:t xml:space="preserve">2. </w:t>
      </w:r>
      <w:r>
        <w:rPr>
          <w:rFonts w:ascii="Calibri" w:hAnsi="Calibri"/>
          <w:b w:val="0"/>
          <w:color w:val="3A4A28"/>
          <w:sz w:val="17"/>
        </w:rPr>
        <w:t>Behavioral Health Business / Yahoo Finance — LifeStance CEO on technology investments, AI strategy, and clinician expansion, 2025-2026</w:t>
      </w:r>
    </w:p>
    <w:p>
      <w:pPr>
        <w:spacing w:before="20" w:after="20"/>
        <w:ind w:left="170"/>
      </w:pPr>
      <w:r>
        <w:rPr>
          <w:rFonts w:ascii="Calibri" w:hAnsi="Calibri"/>
          <w:b/>
          <w:color w:val="4A6B25"/>
          <w:sz w:val="15"/>
        </w:rPr>
        <w:t xml:space="preserve">3. </w:t>
      </w:r>
      <w:r>
        <w:rPr>
          <w:rFonts w:ascii="Calibri" w:hAnsi="Calibri"/>
          <w:b w:val="0"/>
          <w:color w:val="3A4A28"/>
          <w:sz w:val="17"/>
        </w:rPr>
        <w:t>LifeStance Health corporate website / Comparably — Mission, vision, core values, and company culture data,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StockTitan — LFST insider selling activity, TPG 20.7M share sale, December 2025 -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LFST (LifeStance Health),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