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LHSW</w:t>
      </w:r>
      <w:r>
        <w:rPr>
          <w:rFonts w:ascii="Calibri" w:hAnsi="Calibri"/>
          <w:b/>
          <w:color w:val="1A2010"/>
          <w:sz w:val="40"/>
        </w:rPr>
        <w:t xml:space="preserve">  Lianhe Sowell International Group Ltd</w:t>
      </w:r>
    </w:p>
    <w:p>
      <w:pPr>
        <w:spacing w:after="120"/>
      </w:pPr>
      <w:r>
        <w:rPr>
          <w:rFonts w:ascii="Calibri" w:hAnsi="Calibri"/>
          <w:b/>
          <w:color w:val="6E8450"/>
          <w:sz w:val="18"/>
        </w:rPr>
        <w:t>GROWTH SLEEVE · 2026-04-08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China</w:t>
      </w:r>
    </w:p>
    <w:p>
      <w:pPr>
        <w:spacing w:after="80"/>
      </w:pPr>
      <w:r>
        <w:rPr>
          <w:rFonts w:ascii="Calibri" w:hAnsi="Calibri"/>
          <w:b w:val="0"/>
          <w:color w:val="3A4A28"/>
          <w:sz w:val="20"/>
        </w:rPr>
        <w:t>Lianhe Sowell International Group Ltd, through its subsidiaries, engages in the provision of machine vision products and solutions in China. It offers industrial machine vision products; artificial intelligence products, such as face recognition and AI behavior analysis; intelligent weak current products including building intelligence and intelligent transportation; electronic customs clearance systems; and spray-painting robots for industrial automation. The company completed its Nasdaq IPO in April 2025 and was recognized as a 'Specialized and Innovative Little Giant' enterprise by China's Ministry of Industry and Information Technology in October 2025.</w:t>
      </w:r>
    </w:p>
    <w:p>
      <w:r>
        <w:rPr>
          <w:rFonts w:ascii="Calibri" w:hAnsi="Calibri"/>
          <w:b/>
          <w:color w:val="6E8450"/>
          <w:sz w:val="18"/>
        </w:rPr>
        <w:t>50 Employees · N/A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Lianhe Sowell demonstrates meaningful innovation credentials for a micro-cap, having been recognized as a 'Specialized and Innovative Little Giant' Enterprise by China's Ministry of Industry and Information Technology (MIIT) in October 2025 [1]. The company's software revenue surged 177% in FY2025, reflecting a successful pivot toward higher-margin AI-driven machine vision software from hardware, and it secured RMB 200 million in spray-painting robot orders [2]. However, with only 50 employees, limited R&amp;D disclosure, and no analyst coverage, the company's innovation pipeline lacks the scale or depth to score higher.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mission around industrial AI and intelligent manufacturing carries some purpose, with CEO Yue Zhu articulating a commitment to 'efficient, sustainable, and intelligent solutions that empower global manufacturing clients' [1]. However, with just 50 employees and no disclosed community programs, employee engagement data, or notable insider buying activity, inspiration remains nascent at this early stage [2]. The company's recent Nasdaq debut in April 2025 gives it a platform but has not yet translated into a compelling cultural or social narrative.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LHSW fails the liquidity floor: average daily volume of approximately 3.1 million shares at a price of $0.185 yields a daily dollar volume of roughly $576,000, well below the $1 million threshold required for an Infrastructure score above zero [2]. Beyond the liquidity floor, the underlying fundamentals are mixed — D/E of 20.2% is conservative, ROE of 9.2% is below the 15% target, and profit margin of 2.5% is thin — but none of these can be assessed given the mandatory liquidity disqualification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Lianhe Sowell is an early-stage micro-cap that demonstrates some long-term thinking through its pivot from hardware to software and its alignment with China's industrial automation megatrend, but lacks the organizational maturity, scale, and cultural evidence required for a stronger Infinite Game assessment. The recent Nasdaq IPO and robot order wins show a willingness to evolve, but the company's short operating history and very small workforce limit visibility into culture, team trust, and rivalry awareness.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a nascent just cause in enabling intelligent manufacturing and 'empowering global manufacturing clients' through AI-driven machine vision [1]. However, the articulation remains at the level of mission statement rather than embedded organizational practice, and public evidence of this cause driving decisions — such as turning down revenue, prioritizing long-term customer outcomes, or community commitments — is absent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50 full-time employees and no disclosed HR data, employee reviews, or retention metrics, there is minimal evidence of a trust-oriented team culture [2]. The company's rapid revenue growth and structural transformation suggest some degree of internal adaptability, but verifiable cultural practices cannot be assessed at this stage.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public evidence exists of Lianhe Sowell benchmarking against or learning from competitors such as Keyence, Cognex, or larger Chinese AI vision firms [1]. The company does not appear to publish competitive analyses or acknowledge rivals in ways that suggest a growth mindset toward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177% growth in software revenue alongside a 30% decline in electronic product revenue represents a meaningful strategic pivot, suggesting the company can adapt its business model under pressure [2]. However, this shift may also reflect reactive market responses rather than proactive existential flexibility, and the overall strategic repertoire of a 50-person company remains limited.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list on Nasdaq and pursue an aggressive robotics strategy with the RMB 200 million spray-painting robot order demonstrates some courage to lead in a competitive market [1][2]. That said, the company has not demonstrated the kind of industry-shaping, contrarian moves that characterize high-scoring Infinite Game players, and leadership's public statements remain largely promotional.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Lianhe Sowell International is a China-based micro-cap operating at the intersection of machine vision, industrial AI, and automation — all secular growth themes. The company's FY2025 pivot (software revenue +177%) and a RMB 200 million robot order signal real commercial traction in a fast-expanding addressable market [1][2]. At a trailing P/E of roughly 6x on $36.5 million in revenue, the valuation is optically cheap, and the MIIT 'Little Giant' designation provides third-party validation of its technology credentials [1].</w:t>
      </w:r>
    </w:p>
    <w:p>
      <w:pPr>
        <w:spacing w:after="120"/>
      </w:pPr>
      <w:r>
        <w:rPr>
          <w:rFonts w:ascii="Calibri" w:hAnsi="Calibri"/>
          <w:b w:val="0"/>
          <w:color w:val="3A4A28"/>
          <w:sz w:val="20"/>
        </w:rPr>
        <w:t>However, LHSW is a speculative micro-cap with a $9.6 million market cap, a stock price below $0.20, and a daily dollar volume well below $1 million — making it essentially uninvestable for most institutional and many retail investors. The company has only 50 employees, no analyst coverage, and limited financial transparency. The combination of extreme illiquidity, execution risk around the robot order, and China-based operating and regulatory risks makes this a WATCH until volume and fundamentals improve materially.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delivery and recognition of the RMB 200 million spray-painting robot order through Q1 2026, validating manufacturing capacity and driving revenue re-acceleration [2]</w:t>
      </w:r>
    </w:p>
    <w:p>
      <w:pPr>
        <w:spacing w:before="40" w:after="40"/>
        <w:ind w:left="283"/>
      </w:pPr>
      <w:r>
        <w:rPr>
          <w:rFonts w:ascii="Calibri" w:hAnsi="Calibri"/>
          <w:b/>
          <w:color w:val="4A6B25"/>
          <w:sz w:val="20"/>
        </w:rPr>
        <w:t xml:space="preserve">2. </w:t>
      </w:r>
      <w:r>
        <w:rPr>
          <w:rFonts w:ascii="Calibri" w:hAnsi="Calibri"/>
          <w:b w:val="0"/>
          <w:color w:val="3A4A28"/>
          <w:sz w:val="20"/>
        </w:rPr>
        <w:t>Continued software revenue mix shift above 50% of total revenue, which would meaningfully expand gross margins beyond the current 26% level and improve profitability [2]</w:t>
      </w:r>
    </w:p>
    <w:p>
      <w:pPr>
        <w:spacing w:before="40" w:after="40"/>
        <w:ind w:left="283"/>
      </w:pPr>
      <w:r>
        <w:rPr>
          <w:rFonts w:ascii="Calibri" w:hAnsi="Calibri"/>
          <w:b/>
          <w:color w:val="4A6B25"/>
          <w:sz w:val="20"/>
        </w:rPr>
        <w:t xml:space="preserve">3. </w:t>
      </w:r>
      <w:r>
        <w:rPr>
          <w:rFonts w:ascii="Calibri" w:hAnsi="Calibri"/>
          <w:b w:val="0"/>
          <w:color w:val="3A4A28"/>
          <w:sz w:val="20"/>
        </w:rPr>
        <w:t>Additional MIIT or government recognition, strategic partnerships with larger Chinese industrial manufacturers, or expansion into international markets that could expand addressable market and credibility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 daily dollar volume of ~$576K means even small sell orders could materially move the stock, and institutional capital cannot enter or exit without significant market impact [2]</w:t>
      </w:r>
    </w:p>
    <w:p>
      <w:pPr>
        <w:spacing w:before="40" w:after="40"/>
        <w:ind w:left="283"/>
      </w:pPr>
      <w:r>
        <w:rPr>
          <w:rFonts w:ascii="Calibri" w:hAnsi="Calibri"/>
          <w:b/>
          <w:color w:val="4A6B25"/>
          <w:sz w:val="20"/>
        </w:rPr>
        <w:t xml:space="preserve">2. </w:t>
      </w:r>
      <w:r>
        <w:rPr>
          <w:rFonts w:ascii="Calibri" w:hAnsi="Calibri"/>
          <w:b w:val="0"/>
          <w:color w:val="3A4A28"/>
          <w:sz w:val="20"/>
        </w:rPr>
        <w:t>China-based operating risk including regulatory uncertainty, geopolitical tensions affecting US-listed Chinese companies, and potential delisting pressure from Nasdaq compliance requirements given the sub-$1 stock price [1]</w:t>
      </w:r>
    </w:p>
    <w:p>
      <w:pPr>
        <w:spacing w:before="40" w:after="40"/>
        <w:ind w:left="283"/>
      </w:pPr>
      <w:r>
        <w:rPr>
          <w:rFonts w:ascii="Calibri" w:hAnsi="Calibri"/>
          <w:b/>
          <w:color w:val="4A6B25"/>
          <w:sz w:val="20"/>
        </w:rPr>
        <w:t xml:space="preserve">3. </w:t>
      </w:r>
      <w:r>
        <w:rPr>
          <w:rFonts w:ascii="Calibri" w:hAnsi="Calibri"/>
          <w:b w:val="0"/>
          <w:color w:val="3A4A28"/>
          <w:sz w:val="20"/>
        </w:rPr>
        <w:t>Execution and concentration risk — the RMB 200 million robot order represents a transformative contract for a 50-person company, and any delivery failures, customer disputes, or supply chain issues could be catastrophic to near-term financials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the core product at Lianhe Sowell — the company provides machine vision, face recognition, AI behavior analysis, and intelligent automation systems — making AI disruption essentially a non-threat and a fundamental growth driver [1]. The MIIT 'Little Giant' recognition for its Shenzhen subsidiary specifically cited the company's technological excellence in AI-powered machine vision and intelligent manufacturing systems, affirming its AI-native positioning [1]. The primary AI opportunity lies in the secular growth of industrial automation and China's push for smart manufacturing, with the RMB 200 million spray-painting robot order underscoring real market traction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GlobeNewswire — 'Lianhe Sowell Recognized as a Specialized and Innovative Little Giant Enterprise by the Ministry of Industry and Information Technology of China', October 24, 2025 — https://www.globenewswire.com/news-release/2025/10/24/3172845/0/en/Lianhe-Sowell-Recognized-as-a-Specialized-and-Innovative-Little-Giant-Enterprise-by-the-Ministry-of-Industry-and-Information-Technology-of-China.html</w:t>
      </w:r>
    </w:p>
    <w:p>
      <w:pPr>
        <w:spacing w:before="20" w:after="20"/>
        <w:ind w:left="170"/>
      </w:pPr>
      <w:r>
        <w:rPr>
          <w:rFonts w:ascii="Calibri" w:hAnsi="Calibri"/>
          <w:b/>
          <w:color w:val="4A6B25"/>
          <w:sz w:val="15"/>
        </w:rPr>
        <w:t xml:space="preserve">2. </w:t>
      </w:r>
      <w:r>
        <w:rPr>
          <w:rFonts w:ascii="Calibri" w:hAnsi="Calibri"/>
          <w:b w:val="0"/>
          <w:color w:val="3A4A28"/>
          <w:sz w:val="17"/>
        </w:rPr>
        <w:t>StockTitan — 'Lianhe Sowell International Group Ltd Announces Financial Results for Fiscal Year 2025', accessed April 2026 — https://www.stocktitan.net/news/LHSW/lianhe-sowell-international-group-ltd-announces-financial-results-6di3calv8mys.html</w:t>
      </w:r>
    </w:p>
    <w:p>
      <w:pPr>
        <w:spacing w:before="20" w:after="20"/>
        <w:ind w:left="170"/>
      </w:pPr>
      <w:r>
        <w:rPr>
          <w:rFonts w:ascii="Calibri" w:hAnsi="Calibri"/>
          <w:b/>
          <w:color w:val="4A6B25"/>
          <w:sz w:val="15"/>
        </w:rPr>
        <w:t xml:space="preserve">3. </w:t>
      </w:r>
      <w:r>
        <w:rPr>
          <w:rFonts w:ascii="Calibri" w:hAnsi="Calibri"/>
          <w:b w:val="0"/>
          <w:color w:val="3A4A28"/>
          <w:sz w:val="17"/>
        </w:rPr>
        <w:t>Yahoo Finance — LHSW key statistics and fundamentals, accessed April 2026 — https://finance.yahoo.com/quote/LHSW/</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