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LIMN</w:t>
      </w:r>
      <w:r>
        <w:rPr>
          <w:rFonts w:ascii="Calibri" w:hAnsi="Calibri"/>
          <w:b/>
          <w:color w:val="1A2010"/>
          <w:sz w:val="40"/>
        </w:rPr>
        <w:t xml:space="preserve">  Liminatus Pharma, Inc.</w:t>
      </w:r>
    </w:p>
    <w:p>
      <w:pPr>
        <w:spacing w:after="120"/>
      </w:pPr>
      <w:r>
        <w:rPr>
          <w:rFonts w:ascii="Calibri" w:hAnsi="Calibri"/>
          <w:b/>
          <w:color w:val="6E8450"/>
          <w:sz w:val="18"/>
        </w:rPr>
        <w:t>GROWTH SLEEVE · 2026-03-27 · Inspire: 24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22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NASDAQ · United States</w:t>
      </w:r>
    </w:p>
    <w:p>
      <w:pPr>
        <w:spacing w:after="80"/>
      </w:pPr>
      <w:r>
        <w:rPr>
          <w:rFonts w:ascii="Calibri" w:hAnsi="Calibri"/>
          <w:b w:val="0"/>
          <w:color w:val="3A4A28"/>
          <w:sz w:val="20"/>
        </w:rPr>
        <w:t>Liminatus Pharma is a pre-clinical stage biopharmaceutical company developing novel cancer immunotherapies, including IBA101, a humanized anti-CD47 monoclonal antibody, and a GCC vaccine candidate for solid tumors.</w:t>
      </w:r>
    </w:p>
    <w:p>
      <w:r>
        <w:rPr>
          <w:rFonts w:ascii="Calibri" w:hAnsi="Calibri"/>
          <w:b/>
          <w:color w:val="6E8450"/>
          <w:sz w:val="18"/>
        </w:rPr>
        <w:t>3 Employees · https://liminatuspharma.com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Liminatus has two pre-clinical oncology candidates (IBA101 CD47 antibody and GCC vaccine) but no clinical trial data, no revenue, and only 3 employees [1]. The CD47 mechanism is well-trodden with multiple competitors including Gilead and Pfizer having abandoned or scaled back similar programs. The company has announced a planned Phase 1 trial for IBA101 but has not initiated it, and the pivot to a cryptocurrency subsidiary ('American BNB Strategy') raises serious questions about management focus.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With only 3 employees, no clinical operations, a Nasdaq non-compliance notice for late quarterly filings, and material weaknesses in internal controls, Liminatus lacks the organizational substance to evaluate culture or inspiration [1]. The stock has fallen from $33.66 to $0.19, destroying over 99% of shareholder value since its June 2025 high. Management's decision to pursue cryptocurrency investments alongside pre-clinical oncology suggests mission drift.</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Liminatus is a zero-revenue, pre-clinical company with recurring losses, going-concern risks, and material weaknesses in internal controls [1]. The $4M equity offering with dilutive warrants and $30M financing MOU subject to due diligence reflect desperate capital needs. With a $7.7M market cap, negative book value, and no foreseeable path to profitability, the infrastructure score is zero.</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2</w:t>
      </w:r>
      <w:r>
        <w:rPr>
          <w:rFonts w:ascii="Calibri" w:hAnsi="Calibri"/>
          <w:b w:val="0"/>
          <w:color w:val="9DAF88"/>
          <w:sz w:val="18"/>
        </w:rPr>
        <w:t xml:space="preserve"> /10</w:t>
      </w:r>
    </w:p>
    <w:p>
      <w:pPr>
        <w:spacing w:after="120"/>
      </w:pPr>
      <w:r>
        <w:rPr>
          <w:rFonts w:ascii="Calibri" w:hAnsi="Calibri"/>
          <w:b w:val="0"/>
          <w:color w:val="3A4A28"/>
          <w:sz w:val="18"/>
        </w:rPr>
        <w:t>Liminatus exhibits classic finite-game characteristics: a pre-clinical company with existential funding risk, Nasdaq compliance issues, mission drift into cryptocurrency, and 99% shareholder value destruction over nine months. Survival, not long-term vision, dominates.</w:t>
      </w:r>
    </w:p>
    <w:p>
      <w:pPr>
        <w:spacing w:before="200" w:after="40"/>
      </w:pPr>
      <w:r>
        <w:rPr>
          <w:rFonts w:ascii="Calibri" w:hAnsi="Calibri"/>
          <w:b/>
          <w:color w:val="1A2010"/>
          <w:sz w:val="22"/>
        </w:rPr>
        <w:t>Just Cause</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Cancer immunotherapy is a noble pursuit, but Liminatus's pivot to cryptocurrency investment and failure to advance its pipeline beyond pre-clinical stage despite years of development undermine the credibility of its oncology mission [1].</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With 3 employees, material weaknesses in internal controls, and a Nasdaq non-compliance notice for late filings, there is no meaningful organizational team to assess [1]. The governance structure appears inadequate for a public company.</w:t>
      </w:r>
    </w:p>
    <w:p>
      <w:pPr>
        <w:spacing w:before="200" w:after="40"/>
      </w:pPr>
      <w:r>
        <w:rPr>
          <w:rFonts w:ascii="Calibri" w:hAnsi="Calibri"/>
          <w:b/>
          <w:color w:val="1A2010"/>
          <w:sz w:val="22"/>
        </w:rPr>
        <w:t>Worthy Rivals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Liminatus operates in a space where major pharma players like Gilead have abandoned CD47 programs after spending hundreds of millions, yet the company proceeds with minimal resources. There is no evidence of strategic learning from competitor failures or successes.</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cryptocurrency subsidiary pivot could be interpreted as flexibility but more likely represents desperation or management distraction rather than strategic adaptation [1]. The company has not demonstrated the ability to advance its core oncology programs, let alone pivot effectively.</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Pursuing CD47 immunotherapy as a 3-person company when well-funded competitors have struggled requires either extraordinary courage or insufficient awareness of the competitive landscape. The Nasdaq compliance failure and governance weaknesses suggest the latter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Liminatus holds two pre-clinical oncology assets (IBA101 and GCC vaccine) in the high-value immuno-oncology space, and the recent $30M financing MOU with Capital Trust Group could provide capital to advance the pipeline [1]. The CD47 checkpoint mechanism remains a valid therapeutic target, and success in even one program could represent transformative upside from a $7.7M market cap base.</w:t>
      </w:r>
    </w:p>
    <w:p>
      <w:pPr>
        <w:spacing w:after="120"/>
      </w:pPr>
      <w:r>
        <w:rPr>
          <w:rFonts w:ascii="Calibri" w:hAnsi="Calibri"/>
          <w:b w:val="0"/>
          <w:color w:val="3A4A28"/>
          <w:sz w:val="20"/>
        </w:rPr>
        <w:t>The overwhelming weight of evidence points to extreme risk. The company has 3 employees, zero revenue, going-concern qualifications, material weaknesses in internal controls, and a Nasdaq non-compliance notice [1]. The stock has fallen 99.4% from its June 2025 high of $33.66 to $0.19. The $4M equity offering includes dilutive warrants, the $30M financing MOU is subject to due diligence, and the cryptocurrency subsidiary pivot raises serious governance concerns. Major pharma competitors have abandoned similar CD47 programs after spending exponentially more. This is a speculative micro-cap with near-zero probability of successful drug development and commercialization.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Successful closing of $30M Capital Trust Group financing could fund Phase 1 trial initiation for IBA101, though the deal remains subject to due diligence and Nasdaq compliance [1]</w:t>
      </w:r>
    </w:p>
    <w:p>
      <w:pPr>
        <w:spacing w:before="40" w:after="40"/>
        <w:ind w:left="283"/>
      </w:pPr>
      <w:r>
        <w:rPr>
          <w:rFonts w:ascii="Calibri" w:hAnsi="Calibri"/>
          <w:b/>
          <w:color w:val="4A6B25"/>
          <w:sz w:val="20"/>
        </w:rPr>
        <w:t xml:space="preserve">2. </w:t>
      </w:r>
      <w:r>
        <w:rPr>
          <w:rFonts w:ascii="Calibri" w:hAnsi="Calibri"/>
          <w:b w:val="0"/>
          <w:color w:val="3A4A28"/>
          <w:sz w:val="20"/>
        </w:rPr>
        <w:t>IBA101 Phase 1 trial initiation would be a de-risking milestone, potentially attracting partnership interest from larger pharma companies</w:t>
      </w:r>
    </w:p>
    <w:p>
      <w:pPr>
        <w:spacing w:before="40" w:after="40"/>
        <w:ind w:left="283"/>
      </w:pPr>
      <w:r>
        <w:rPr>
          <w:rFonts w:ascii="Calibri" w:hAnsi="Calibri"/>
          <w:b/>
          <w:color w:val="4A6B25"/>
          <w:sz w:val="20"/>
        </w:rPr>
        <w:t xml:space="preserve">3. </w:t>
      </w:r>
      <w:r>
        <w:rPr>
          <w:rFonts w:ascii="Calibri" w:hAnsi="Calibri"/>
          <w:b w:val="0"/>
          <w:color w:val="3A4A28"/>
          <w:sz w:val="20"/>
        </w:rPr>
        <w:t>Nasdaq compliance resolution could stabilize the stock and prevent delisting, preserving access to public capital markets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Nasdaq delisting risk is imminent due to non-compliance with listing rules, which would severely impair the company's ability to raise capital [1]</w:t>
      </w:r>
    </w:p>
    <w:p>
      <w:pPr>
        <w:spacing w:before="40" w:after="40"/>
        <w:ind w:left="283"/>
      </w:pPr>
      <w:r>
        <w:rPr>
          <w:rFonts w:ascii="Calibri" w:hAnsi="Calibri"/>
          <w:b/>
          <w:color w:val="4A6B25"/>
          <w:sz w:val="20"/>
        </w:rPr>
        <w:t xml:space="preserve">2. </w:t>
      </w:r>
      <w:r>
        <w:rPr>
          <w:rFonts w:ascii="Calibri" w:hAnsi="Calibri"/>
          <w:b w:val="0"/>
          <w:color w:val="3A4A28"/>
          <w:sz w:val="20"/>
        </w:rPr>
        <w:t>With only $4M in recent offering proceeds and massive cash burn relative to market cap, the company faces existential dilution or insolvency risk within 12-18 months</w:t>
      </w:r>
    </w:p>
    <w:p>
      <w:pPr>
        <w:spacing w:before="40" w:after="40"/>
        <w:ind w:left="283"/>
      </w:pPr>
      <w:r>
        <w:rPr>
          <w:rFonts w:ascii="Calibri" w:hAnsi="Calibri"/>
          <w:b/>
          <w:color w:val="4A6B25"/>
          <w:sz w:val="20"/>
        </w:rPr>
        <w:t xml:space="preserve">3. </w:t>
      </w:r>
      <w:r>
        <w:rPr>
          <w:rFonts w:ascii="Calibri" w:hAnsi="Calibri"/>
          <w:b w:val="0"/>
          <w:color w:val="3A4A28"/>
          <w:sz w:val="20"/>
        </w:rPr>
        <w:t>The CD47 mechanism has a poor clinical track record industry-wide, with Gilead, Pfizer, and others abandoning programs — Liminatus is unlikely to succeed where well-funded competitors failed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As a pre-clinical biotech, Liminatus has minimal direct AI disruption risk since drug development remains highly regulated and capital-intensive. AI could theoretically accelerate the company's drug discovery work, but with only 3 employees and no active clinical programs, the practical relevance of AI to the business is negligible. The score reflects neutrality rather than strength or weakness.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24</w:t>
      </w:r>
      <w:r>
        <w:rPr>
          <w:rFonts w:ascii="Calibri" w:hAnsi="Calibri"/>
          <w:b/>
          <w:color w:val="B8860B"/>
          <w:sz w:val="20"/>
        </w:rPr>
        <w:t xml:space="preserve">    MIXED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Access and Affordability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Liminatus Pharma SEC Filings (S-1, 8-K) and Company Announcements, 2025-2026</w:t>
      </w:r>
    </w:p>
    <w:p>
      <w:pPr>
        <w:spacing w:before="20" w:after="20"/>
        <w:ind w:left="170"/>
      </w:pPr>
      <w:r>
        <w:rPr>
          <w:rFonts w:ascii="Calibri" w:hAnsi="Calibri"/>
          <w:b/>
          <w:color w:val="4A6B25"/>
          <w:sz w:val="15"/>
        </w:rPr>
        <w:t xml:space="preserve">2. </w:t>
      </w:r>
      <w:r>
        <w:rPr>
          <w:rFonts w:ascii="Calibri" w:hAnsi="Calibri"/>
          <w:b w:val="0"/>
          <w:color w:val="3A4A28"/>
          <w:sz w:val="17"/>
        </w:rPr>
        <w:t>Yahoo Finance — LIMN key statistics, accessed March 2026</w:t>
      </w:r>
    </w:p>
    <w:p>
      <w:pPr>
        <w:spacing w:before="20" w:after="20"/>
        <w:ind w:left="170"/>
      </w:pPr>
      <w:r>
        <w:rPr>
          <w:rFonts w:ascii="Calibri" w:hAnsi="Calibri"/>
          <w:b/>
          <w:color w:val="4A6B25"/>
          <w:sz w:val="15"/>
        </w:rPr>
        <w:t xml:space="preserve">3. </w:t>
      </w:r>
      <w:r>
        <w:rPr>
          <w:rFonts w:ascii="Calibri" w:hAnsi="Calibri"/>
          <w:b w:val="0"/>
          <w:color w:val="3A4A28"/>
          <w:sz w:val="17"/>
        </w:rPr>
        <w:t>Renaissance Capital — LIMN IPO and Financing Analysis, 2025</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