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LIN</w:t>
      </w:r>
      <w:r>
        <w:rPr>
          <w:rFonts w:ascii="Calibri" w:hAnsi="Calibri"/>
          <w:b/>
          <w:color w:val="1A2010"/>
          <w:sz w:val="40"/>
        </w:rPr>
        <w:t xml:space="preserve">  Linde plc</w:t>
      </w:r>
    </w:p>
    <w:p>
      <w:pPr>
        <w:spacing w:after="120"/>
      </w:pPr>
      <w:r>
        <w:rPr>
          <w:rFonts w:ascii="Calibri" w:hAnsi="Calibri"/>
          <w:b/>
          <w:color w:val="6E8450"/>
          <w:sz w:val="18"/>
        </w:rPr>
        <w:t>GROWTH SLEEVE · 2026-04-12 · Inspire: 62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Specialty Chemicals · NASDAQ · Ireland</w:t>
      </w:r>
    </w:p>
    <w:p>
      <w:pPr>
        <w:spacing w:after="80"/>
      </w:pPr>
      <w:r>
        <w:rPr>
          <w:rFonts w:ascii="Calibri" w:hAnsi="Calibri"/>
          <w:b w:val="0"/>
          <w:color w:val="3A4A28"/>
          <w:sz w:val="20"/>
        </w:rPr>
        <w:t>Linde is the world's largest industrial gas company, serving customers in healthcare, petroleum refining, manufacturing, food, chemicals, electronics, and clean energy across 100+ countries. The company produces and distributes oxygen, nitrogen, argon, hydrogen, carbon dioxide, and specialty gases, and holds 33 consecutive years of quarterly dividend increases.</w:t>
      </w:r>
    </w:p>
    <w:p>
      <w:r>
        <w:rPr>
          <w:rFonts w:ascii="Calibri" w:hAnsi="Calibri"/>
          <w:b/>
          <w:color w:val="6E8450"/>
          <w:sz w:val="18"/>
        </w:rPr>
        <w:t>65,000 Employees · https://www.linde.com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Linde posted record 2025 results with $34.0B revenue (+3% YoY), $10.1B operating profit (+4%), adjusted EPS of $16.46 (+6%), and expanded operating margin to 29.8% — consistent execution under CEO Sanjiv Lamba [1]. AI Deployment (1/2): Operational AI deployment across 100+ country production network drives efficiency gains; Lamba highlights 'leveraging technology and automation' but specific internal savings quantification is limited [1][2]. Market Share (2/2): World's largest industrial gas supplier by revenue and margin, commanding category leadership across healthcare, electronics, clean energy, and refining end markets with margin premium to Air Liquide and Air Products [1]. Pipeline (2/2): Record $10B project backlog with $2.5-3B of projects starting up in 2026, $5.0-5.5B capex planned, and specific clean energy (hydrogen) and electronics (AI semiconductor gases) projects named with timelines — 2026 adjusted EPS guidance of $17.40-17.90 (+6-9%) [1]. R&amp;D Intensity (0/1): Industrial gas R&amp;D is below pure tech industries; operational excellence rather than R&amp;D drives the moat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'Making our world more productive' focused on operational and environmental efficiency — specific and thoughtful, tied to the company's role as the backbone of modern economies (hospitals, refineries, semiconductor fabs) [3]. Community Impact (2/2): Linde Foundation, 21st consecutive year on DJSI World, World's Most Ethical Companies recognition, and quantified community programs across 100+ countries; Linde helps customers avoid more than double the emissions Linde itself generates [3]. Employee Retention (0/2): No publicly quantified retention or tenure metrics above-average; CEO Sanjiv Lamba's 30+ year internal tenure (rising from APAC to CEO to Chairman) is a positive anecdote but not company-wide data [2]. Insider Buying (1/2): Lamba added Chairman role in January 2026 while retaining CEO, signaling long-term commitment; $7.1B returned to shareholders in 2024 including $6.40 annual dividend (+7% increase 2026) reflects capital allocation discipline [1][2].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Linde's financial profile is industrial-gas best-in-class: 2025 revenue of $34.0B (+3% YoY), $7.77B net income, 29.8% operating margin, 24.2% ROC, and 17.82% ROE exceeding the 15% target [1][4]. D/E of 71% is just at target, profit margin of 20.3% hits the 20% benchmark precisely, and forward P/E of 27.14 is slightly above the 20 target reflecting quality premium [4]. PEG of 3.13 sits at the floor (3.0) scoring 0 on that component — valuation is stretched for a mid-single-digit grower [4]. 5yr revenue CAGR ~4.5% (from $27.2B in 2020 to $34.0B in 2025) is below the 10% target [1]. Dividend track record is exceptional (33 consecutive annual increases) but yield of 1.27% disqualifies Dividend sleeve. Liquidity floor easily cleared: $503.30 × 2M avg volume = ~$1B daily turnover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Linde embodies infinite-game discipline: 33 consecutive years of dividend increases, multi-decade operational excellence, a Just Cause tied to making the world more productive, and a CEO who rose through 30+ years of internal leadership. Capital discipline (margin expansion every year under Lamba), end-market flexibility (hydrogen, clean energy, AI electronics), and consistency of execution across cycles define the Sinek standard.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'Making our world more productive' is genuine cause — validated by $10B project backlog in clean energy, healthcare, and electronics, and by consistent strategic decisions that trace back to the purpose across multiple CEOs [1][3]. Not yet the decades-of-conscious-execution standard of NVDA but durable across 100+ countries (2 pts).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Sanjiv Lamba's 30+ year internal tenure (Managing Director India → Regional Head APAC → EVP APAC → CEO → Chairman) demonstrates a promotion-from-within culture that is the hallmark of high-trust organizations [2]. 21st consecutive DJSI World inclusion and World's Most Ethical Companies recognition reflect cultural consistency (2 pts).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Linde explicitly benchmarks against Air Liquide and Air Products in investor communications, using competitor margin and ROC performance to set its own targets; Lamba co-chairs the Hydrogen Council with other industry leaders rather than adopting a destroy-the-competition posture [1][2] (1 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Linde merged with Praxair in 2018 — a transformative combination that created the global #1 — and has continued to pivot into hydrogen, clean energy, and AI-driven electronics end markets [1][3]. Incremental end-market expansion rather than a Kodak-to-Fujifilm reinvention because the core industrial gas business remains dominant (1 pt).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Pattern of courage: 33 consecutive annual dividend increases through 2008, 2015-16, and 2020 downturns; 2025 margin expansion to 29.8% through pricing discipline even as volumes softened; $5.0-5.5B capex commitment in 2026 against a $10B backlog despite macro uncertainty; hydrogen infrastructure investment ahead of demonstrated demand [1]. Multiple cycles of long-term capability over short-term earnings (2 pts).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Linde is the world's largest and highest-margin industrial gas company and a direct AI infrastructure beneficiary. 2025 delivered record results: $34.0B revenue (+3%), $10.1B operating profit (+4%), adjusted EPS $16.46 (+6%), operating margin of 29.8%, and ROC of 24.2% [1]. The $10B project backlog — weighted toward semiconductor/electronics (AI chip fab specialty gases), clean energy (hydrogen), and healthcare — provides multi-year growth visibility, and 2026 adjusted EPS guidance of $17.40-17.90 implies 6-9% growth [1]. The Board's 7% dividend increase to $1.60 per quarter marks the 33rd consecutive year of increases, and CEO Sanjiv Lamba's 30+ year internal tenure and January 2026 appointment as Chairman reinforce execution continuity [2]. Inspire alignment score of 62 (ALIGNED) with 19 positive attributions and zero negatives is among the highest in the IOWN universe.</w:t>
      </w:r>
    </w:p>
    <w:p>
      <w:pPr>
        <w:spacing w:after="120"/>
      </w:pPr>
      <w:r>
        <w:rPr>
          <w:rFonts w:ascii="Calibri" w:hAnsi="Calibri"/>
          <w:b w:val="0"/>
          <w:color w:val="3A4A28"/>
          <w:sz w:val="20"/>
        </w:rPr>
        <w:t>The bear case is valuation and growth rate. At forward P/E of 27.14 and PEG of 3.13, Linde trades at a premium to its mid-single-digit revenue growth rate (3% YoY, ~4.5% 5yr CAGR) [4]. Industrial gas volumes have been soft in Europe and parts of industrial end markets, and pricing — not volume — has been the primary margin driver. Dividend yield of 1.27% is too low to qualify for IOWN's Dividend sleeve despite the exceptional 33-year track record. Hydrogen economics remain below industry expectations, and the clean energy capex cycle could underperform if policy support weakens under different political regimes. FX headwinds and European industrial recession risk cap EPS upside in 2026. D/E of 71% is acceptable but not a differentiator, and the $233B market cap requires sustained execution to avoid multiple compression.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$10B project backlog converting to revenue — $2.5-3B of projects starting up in 2026 drive operating leverage and justify the $5.0-5.5B capex plan [1]</w:t>
      </w:r>
    </w:p>
    <w:p>
      <w:pPr>
        <w:spacing w:before="40" w:after="40"/>
        <w:ind w:left="283"/>
      </w:pPr>
      <w:r>
        <w:rPr>
          <w:rFonts w:ascii="Calibri" w:hAnsi="Calibri"/>
          <w:b/>
          <w:color w:val="4A6B25"/>
          <w:sz w:val="20"/>
        </w:rPr>
        <w:t xml:space="preserve">2. </w:t>
      </w:r>
      <w:r>
        <w:rPr>
          <w:rFonts w:ascii="Calibri" w:hAnsi="Calibri"/>
          <w:b w:val="0"/>
          <w:color w:val="3A4A28"/>
          <w:sz w:val="20"/>
        </w:rPr>
        <w:t>AI semiconductor specialty gas demand — electronics end market directly benefits from AI chip fab build-out (TSMC, Samsung, Intel, Micron), supporting pricing and volumes [1][3]</w:t>
      </w:r>
    </w:p>
    <w:p>
      <w:pPr>
        <w:spacing w:before="40" w:after="40"/>
        <w:ind w:left="283"/>
      </w:pPr>
      <w:r>
        <w:rPr>
          <w:rFonts w:ascii="Calibri" w:hAnsi="Calibri"/>
          <w:b/>
          <w:color w:val="4A6B25"/>
          <w:sz w:val="20"/>
        </w:rPr>
        <w:t xml:space="preserve">3. </w:t>
      </w:r>
      <w:r>
        <w:rPr>
          <w:rFonts w:ascii="Calibri" w:hAnsi="Calibri"/>
          <w:b w:val="0"/>
          <w:color w:val="3A4A28"/>
          <w:sz w:val="20"/>
        </w:rPr>
        <w:t>Hydrogen and clean energy policy tailwinds — Linde's leading position in blue/green hydrogen infrastructure (Lamba co-chairs Hydrogen Council) monetizes as regional projects reach FID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premium — forward P/E of 27.14 and PEG of 3.13 leave limited room for multiple expansion if 2026 EPS growth misses the 6-9% guided range [4]</w:t>
      </w:r>
    </w:p>
    <w:p>
      <w:pPr>
        <w:spacing w:before="40" w:after="40"/>
        <w:ind w:left="283"/>
      </w:pPr>
      <w:r>
        <w:rPr>
          <w:rFonts w:ascii="Calibri" w:hAnsi="Calibri"/>
          <w:b/>
          <w:color w:val="4A6B25"/>
          <w:sz w:val="20"/>
        </w:rPr>
        <w:t xml:space="preserve">2. </w:t>
      </w:r>
      <w:r>
        <w:rPr>
          <w:rFonts w:ascii="Calibri" w:hAnsi="Calibri"/>
          <w:b w:val="0"/>
          <w:color w:val="3A4A28"/>
          <w:sz w:val="20"/>
        </w:rPr>
        <w:t>European industrial recession and FX headwinds — 2025 revenue growth of only 3% reflects volume softness in Europe and manufacturing-exposed end markets [1]</w:t>
      </w:r>
    </w:p>
    <w:p>
      <w:pPr>
        <w:spacing w:before="40" w:after="40"/>
        <w:ind w:left="283"/>
      </w:pPr>
      <w:r>
        <w:rPr>
          <w:rFonts w:ascii="Calibri" w:hAnsi="Calibri"/>
          <w:b/>
          <w:color w:val="4A6B25"/>
          <w:sz w:val="20"/>
        </w:rPr>
        <w:t xml:space="preserve">3. </w:t>
      </w:r>
      <w:r>
        <w:rPr>
          <w:rFonts w:ascii="Calibri" w:hAnsi="Calibri"/>
          <w:b w:val="0"/>
          <w:color w:val="3A4A28"/>
          <w:sz w:val="20"/>
        </w:rPr>
        <w:t>Hydrogen economics disappointment — if clean hydrogen demand falls short of expectations or policy support weakens, project backlog conversion slows and capex productivity declines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Linde operates physical infrastructure that AI structurally cannot displace — gas separation air plants, hydrogen production, on-site supply to semiconductor fabs, and hospital medical gas distribution [1][3]. AI data center buildout directly increases demand for specialty gases used in chip fabrication (electronics end market is a growth pillar) and for hydrogen/nitrogen cooling applications. Switching costs are extreme given 15-20 year on-site supply contracts and physical plant integration at customer sites. Analysts see Linde as an AI infrastructure beneficiary, not a target. AI Opportunity (1/1): Electronics segment serves AI chip fabs with specialty gases, and Linde has specifically called out AI semiconductor demand as a driver of the $10B project backlog and 2026 startup plan of $2.5-3B projects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Linde Q4 and Full Year 2025 Earnings Release — $34.0B revenue, $7.77B net income, 29.8% operating margin, $10B backlog, 2026 EPS guidance $17.40-17.90, February 2026</w:t>
      </w:r>
    </w:p>
    <w:p>
      <w:pPr>
        <w:spacing w:before="20" w:after="20"/>
        <w:ind w:left="170"/>
      </w:pPr>
      <w:r>
        <w:rPr>
          <w:rFonts w:ascii="Calibri" w:hAnsi="Calibri"/>
          <w:b/>
          <w:color w:val="4A6B25"/>
          <w:sz w:val="15"/>
        </w:rPr>
        <w:t xml:space="preserve">2. </w:t>
      </w:r>
      <w:r>
        <w:rPr>
          <w:rFonts w:ascii="Calibri" w:hAnsi="Calibri"/>
          <w:b w:val="0"/>
          <w:color w:val="3A4A28"/>
          <w:sz w:val="17"/>
        </w:rPr>
        <w:t>Linde corporate website — Sanjiv Lamba leadership (Chairman January 2026, CEO March 2022), Hydrogen Council co-chair, 30+ year internal tenure</w:t>
      </w:r>
    </w:p>
    <w:p>
      <w:pPr>
        <w:spacing w:before="20" w:after="20"/>
        <w:ind w:left="170"/>
      </w:pPr>
      <w:r>
        <w:rPr>
          <w:rFonts w:ascii="Calibri" w:hAnsi="Calibri"/>
          <w:b/>
          <w:color w:val="4A6B25"/>
          <w:sz w:val="15"/>
        </w:rPr>
        <w:t xml:space="preserve">3. </w:t>
      </w:r>
      <w:r>
        <w:rPr>
          <w:rFonts w:ascii="Calibri" w:hAnsi="Calibri"/>
          <w:b w:val="0"/>
          <w:color w:val="3A4A28"/>
          <w:sz w:val="17"/>
        </w:rPr>
        <w:t>Linde sustainability / responsibility reports — DJSI World 21st consecutive year, World's Most Ethical Companies, emissions avoidance greater than 2x footprint</w:t>
      </w:r>
    </w:p>
    <w:p>
      <w:pPr>
        <w:spacing w:before="20" w:after="20"/>
        <w:ind w:left="170"/>
      </w:pPr>
      <w:r>
        <w:rPr>
          <w:rFonts w:ascii="Calibri" w:hAnsi="Calibri"/>
          <w:b/>
          <w:color w:val="4A6B25"/>
          <w:sz w:val="15"/>
        </w:rPr>
        <w:t xml:space="preserve">4. </w:t>
      </w:r>
      <w:r>
        <w:rPr>
          <w:rFonts w:ascii="Calibri" w:hAnsi="Calibri"/>
          <w:b w:val="0"/>
          <w:color w:val="3A4A28"/>
          <w:sz w:val="17"/>
        </w:rPr>
        <w:t>stockanalysis.com / gurufocus — LIN forward P/E 27.14, PEG 3.13, D/E 0.71, ROE 17.82%,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Morningstar — LIN $503.30 price, 463.39M shares outstanding, 2M avg volume, $233.16B market cap,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