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LION</w:t>
      </w:r>
      <w:r>
        <w:rPr>
          <w:rFonts w:ascii="Calibri" w:hAnsi="Calibri"/>
          <w:b/>
          <w:color w:val="1A2010"/>
          <w:sz w:val="40"/>
        </w:rPr>
        <w:t xml:space="preserve">  Lionsgate Studios Corp.</w:t>
      </w:r>
    </w:p>
    <w:p>
      <w:pPr>
        <w:spacing w:after="120"/>
      </w:pPr>
      <w:r>
        <w:rPr>
          <w:rFonts w:ascii="Calibri" w:hAnsi="Calibri"/>
          <w:b/>
          <w:color w:val="6E8450"/>
          <w:sz w:val="18"/>
        </w:rPr>
        <w:t>GROWTH SLEEVE · 2026-04-11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Lionsgate Studios Corp. is a global entertainment company engaged in the production and distribution of motion pictures, television programming, and next-generation streaming content. The company operates through Motion Picture and Television Production segments, with a library of approximately 20,000 titles including major franchises such as John Wick, The Hunger Games, and Now You See Me.</w:t>
      </w:r>
    </w:p>
    <w:p>
      <w:r>
        <w:rPr>
          <w:rFonts w:ascii="Calibri" w:hAnsi="Calibri"/>
          <w:b/>
          <w:color w:val="6E8450"/>
          <w:sz w:val="18"/>
        </w:rPr>
        <w:t>1,500 Employees · https://www.lionsgate.com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Lionsgate has delivered consistent franchise execution with 'Now You See Me: Now You Don't' reaching nearly $250M worldwide in FY2026 Q3, continuing the John Wick and Hunger Games franchise playbook, but these are incremental extensions rather than transformative pivots [1]. AI Deployment (1/2): Lionsgate hired its first Chief AI Officer, Kathleen Grace, reporting directly to CEO Jon Feltheimer, signaling organizational commitment to AI adoption in content production and library monetization; however, no quantifiable AI-driven revenue or cost savings have been reported yet [3]. Market Share Leadership (1/2): Record trailing 12-month library revenue of $1B demonstrates strong IP monetization, but Lionsgate remains a mid-tier studio behind Disney, Warner Bros., Universal, and Paramount in market share [1][2]. Product Pipeline (1/2): Motion Picture slate drove 35% revenue growth in Q3 FY2026, with ongoing franchise development, but TV production revenue declined 25% due to episodic delivery timing [1]. R&amp;D Intensity (1/1): Above-average investment in content creation relative to studio peers, with $2.22B tied up in film and TV content assets.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Lionsgate describes itself as being driven by a 'bold and entrepreneurial culture' focused on creating compelling content across platforms, which is clear about what it does but does not articulate a deeper transformative purpose beyond entertainment production [4]. Community &amp; Charitable Impact (1/2): The Yonkers studio development brings jobs and economic activity to the community, but no specific charitable foundation or community investment programs with measurable impact were identified [5]. Employee Retention (1/2): Glassdoor rating of 3.5/5 across 520+ reviews indicates average employee satisfaction; culture and career development are cited as positives, but senior leadership and work-life balance are noted concerns [4]. Insider Buying (0/2): CEO Jon Feltheimer sold 195,000 shares in December 2025 for tax planning, COO Brian Goldsmith sold 25,000 shares, and Vice Chair Michael Burns sold 21,748 shares — net insider selling with institutional ownership falling 10.85% last quarter [6][7].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with revenue momentum but deeply challenged balance sheet. Revenue grew 7.0% YoY to $3.2B in FY2025 with 3-year CAGR of 5.6%, both scoring reasonably well. Forward P/E of 52.8x is near the 60x floor, scoring only 0.18. Profit margin is negative at -4.0%, scoring 0. D/E, ROE, and PEG are excluded due to negative stockholders' equity of -$1.05B and net losses. Total debt of $3.66B against $212.5M cash with free cash flow of -$120M and ~24-month cash runway at current burn rate creates significant financial risk. Weighted sum 2.49/5 = 5/10 [1][8].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Lionsgate shows elements of infinite game thinking through its entrepreneurial culture and willingness to embrace new technologies like AI, but the studio operates in a fundamentally hit-driven business that rewards short-term box office results. The company's massive debt load and negative equity create survival pressure that constrains long-term strategic thinking, and leadership's heavy insider selling signals finite-minded portfolio management rather than long-term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Lionsgate's purpose centers on being a 'bold and entrepreneurial' content creator, but this describes a business approach rather than a Just Cause. The company's strategy is driven by franchise IP monetization and market positioning rather than a vision of a better future. Vice Chair Burns has helped build Lionsgate over 25+ years, showing longevity, but the company's identity is tied to commercial success rather than a transformative purpose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3.5/5 rating with 520+ reviews shows adequate but not exceptional workplace culture. Employees cite culture and career development as positives, suggesting some organizational trust. However, complaints about senior leadership, work-life balance, and management suggest a traditional Hollywood hierarchy. CEO Feltheimer's long tenure (20+ years) provides leadership stability, though the 85% compensation reduction in 2025 signals cost-cutting pressure [4][6].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Lionsgate's competitive positioning is framed in terms of market share capture and franchise competition against Disney, Warner, and Universal. No evidence of management acknowledging rivals' strengths as motivation for self-improvement — the studio's competitive narrative is about outperforming peers at the box office rather than learning from them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Lionsgate's appointment of a Chief AI Officer and willingness to explore AI in content production represents meaningful strategic adaptation for a traditional studio. The Starz separation and focus on the studio business shows willingness to restructure. However, the core business model of producing and distributing content through theatrical, streaming, and library licensing remains fundamentally unchanged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Lionsgate has maintained investment in content creation through challenging market conditions, committing $2.22B in film and TV content assets despite negative free cash flow. CEO Feltheimer's emphasis on AI guardrails while hiring a Chief AI Officer shows willingness to engage with disruptive technology rather than ignore it. However, the heavy debt load constrains strategic flexibility and forces short-term financial optimization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Lionsgate Studios is showing operational momentum with record FY2025 studio revenue of $3.2B, record library revenue of $956M (approaching $1B trailing), and a strong Motion Picture segment delivering 35% revenue growth in Q3 FY2026 led by the 'Now You See Me' franchise [1][2]. The proactive hiring of a Chief AI Officer and engagement with AI technology positions the studio to leverage its 20,000-title library for AI-era content monetization, and analyst consensus suggests the stock is undervalued at $10.88 with forward EPS turning positive [3].</w:t>
      </w:r>
    </w:p>
    <w:p>
      <w:pPr>
        <w:spacing w:after="120"/>
      </w:pPr>
      <w:r>
        <w:rPr>
          <w:rFonts w:ascii="Calibri" w:hAnsi="Calibri"/>
          <w:b w:val="0"/>
          <w:color w:val="3A4A28"/>
          <w:sz w:val="20"/>
        </w:rPr>
        <w:t>The bear case is dominated by Lionsgate's precarious balance sheet: $3.66B in total debt against negative stockholders' equity of -$1.05B, $212.5M in cash, and -$120M in annual free cash flow create a roughly 24-month cash runway at current burn rates [8]. The company has been unprofitable for three consecutive fiscal years (-$128.5M net loss in FY2025), and the Forward P/E of 52.8x prices in a dramatic earnings turnaround that may not materialize. CEO and executive insider selling, combined with a 10.85% decline in institutional ownership last quarter, signals weakening confidence from those closest to the business [6][7]. AI disruption is a meaningful threat to content production economics, and Lionsgate lacks the scale advantages of major studio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Transition to profitability in FY2027 as record library revenue crosses $1B and Motion Picture franchise slate generates higher-margin theatrical returns</w:t>
      </w:r>
    </w:p>
    <w:p>
      <w:pPr>
        <w:spacing w:before="40" w:after="40"/>
        <w:ind w:left="283"/>
      </w:pPr>
      <w:r>
        <w:rPr>
          <w:rFonts w:ascii="Calibri" w:hAnsi="Calibri"/>
          <w:b/>
          <w:color w:val="4A6B25"/>
          <w:sz w:val="20"/>
        </w:rPr>
        <w:t xml:space="preserve">2. </w:t>
      </w:r>
      <w:r>
        <w:rPr>
          <w:rFonts w:ascii="Calibri" w:hAnsi="Calibri"/>
          <w:b w:val="0"/>
          <w:color w:val="3A4A28"/>
          <w:sz w:val="20"/>
        </w:rPr>
        <w:t>AI-driven content monetization leveraging the 20,000-title library for licensing, training data, and AI-enhanced production under the new Chief AI Officer</w:t>
      </w:r>
    </w:p>
    <w:p>
      <w:pPr>
        <w:spacing w:before="40" w:after="40"/>
        <w:ind w:left="283"/>
      </w:pPr>
      <w:r>
        <w:rPr>
          <w:rFonts w:ascii="Calibri" w:hAnsi="Calibri"/>
          <w:b/>
          <w:color w:val="4A6B25"/>
          <w:sz w:val="20"/>
        </w:rPr>
        <w:t xml:space="preserve">3. </w:t>
      </w:r>
      <w:r>
        <w:rPr>
          <w:rFonts w:ascii="Calibri" w:hAnsi="Calibri"/>
          <w:b w:val="0"/>
          <w:color w:val="3A4A28"/>
          <w:sz w:val="20"/>
        </w:rPr>
        <w:t>Debt refinancing or strategic asset sales that improve the balance sheet and reduce the $3.66B debt burden to sustainable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insolvency risk with negative equity of -$1.05B, $3.66B debt, and negative free cash flow — any box office disappointment or market disruption could trigger a liquidity crisis</w:t>
      </w:r>
    </w:p>
    <w:p>
      <w:pPr>
        <w:spacing w:before="40" w:after="40"/>
        <w:ind w:left="283"/>
      </w:pPr>
      <w:r>
        <w:rPr>
          <w:rFonts w:ascii="Calibri" w:hAnsi="Calibri"/>
          <w:b/>
          <w:color w:val="4A6B25"/>
          <w:sz w:val="20"/>
        </w:rPr>
        <w:t xml:space="preserve">2. </w:t>
      </w:r>
      <w:r>
        <w:rPr>
          <w:rFonts w:ascii="Calibri" w:hAnsi="Calibri"/>
          <w:b w:val="0"/>
          <w:color w:val="3A4A28"/>
          <w:sz w:val="20"/>
        </w:rPr>
        <w:t>AI-generated content disrupts the economics of mid-budget content production, compressing library values and making Lionsgate's franchise-dependent model less differentiated</w:t>
      </w:r>
    </w:p>
    <w:p>
      <w:pPr>
        <w:spacing w:before="40" w:after="40"/>
        <w:ind w:left="283"/>
      </w:pPr>
      <w:r>
        <w:rPr>
          <w:rFonts w:ascii="Calibri" w:hAnsi="Calibri"/>
          <w:b/>
          <w:color w:val="4A6B25"/>
          <w:sz w:val="20"/>
        </w:rPr>
        <w:t xml:space="preserve">3. </w:t>
      </w:r>
      <w:r>
        <w:rPr>
          <w:rFonts w:ascii="Calibri" w:hAnsi="Calibri"/>
          <w:b w:val="0"/>
          <w:color w:val="3A4A28"/>
          <w:sz w:val="20"/>
        </w:rPr>
        <w:t>Television production revenue decline of 25% in Q3 FY2026 signals structural weakness in episodic content that may not be cyclical, as streaming platforms bring production in-house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Lionsgate operates in content creation and entertainment, a sector facing meaningful AI disruption risk. Generative AI tools are already capable of producing scripts, visual effects, and marketing content at a fraction of traditional cost, and AI-generated short-form video content directly competes for audience attention. Studios face unauthorized use of content for AI training, and the legal landscape around IP protection remains unsettled. While premium theatrical franchises and human creative talent retain some defensive moats, AI is compressing production costs and creating new substitution risks across the content value chain [3]. AI Opportunity (1/1): Lionsgate has proactively hired a Chief AI Officer to integrate AI into content production, and the company's 20,000-title library represents a valuable AI training asset; CEO Feltheimer has discussed AI guardrails and monetization opportunities in earnings calls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Lionsgate Studios Q3 Fiscal 2026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Lionsgate Studios Corp (LION) Q2 2026 Earnings Call Highlights</w:t>
      </w:r>
    </w:p>
    <w:p>
      <w:pPr>
        <w:spacing w:before="20" w:after="20"/>
        <w:ind w:left="170"/>
      </w:pPr>
      <w:r>
        <w:rPr>
          <w:rFonts w:ascii="Calibri" w:hAnsi="Calibri"/>
          <w:b/>
          <w:color w:val="4A6B25"/>
          <w:sz w:val="15"/>
        </w:rPr>
        <w:t xml:space="preserve">3. </w:t>
      </w:r>
      <w:r>
        <w:rPr>
          <w:rFonts w:ascii="Calibri" w:hAnsi="Calibri"/>
          <w:b w:val="0"/>
          <w:color w:val="3A4A28"/>
          <w:sz w:val="17"/>
        </w:rPr>
        <w:t>Hollywood Reporter — Lionsgate Hires Chief AI Officer; AI Magazine — What Lionsgate's CAIO Appointment Means</w:t>
      </w:r>
    </w:p>
    <w:p>
      <w:pPr>
        <w:spacing w:before="20" w:after="20"/>
        <w:ind w:left="170"/>
      </w:pPr>
      <w:r>
        <w:rPr>
          <w:rFonts w:ascii="Calibri" w:hAnsi="Calibri"/>
          <w:b/>
          <w:color w:val="4A6B25"/>
          <w:sz w:val="15"/>
        </w:rPr>
        <w:t xml:space="preserve">4. </w:t>
      </w:r>
      <w:r>
        <w:rPr>
          <w:rFonts w:ascii="Calibri" w:hAnsi="Calibri"/>
          <w:b w:val="0"/>
          <w:color w:val="3A4A28"/>
          <w:sz w:val="17"/>
        </w:rPr>
        <w:t>Lionsgate Corporate Website — Governance and Management Team,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Lionsgate ESG Risk Rating; News12 Yonkers Studio Controversy</w:t>
      </w:r>
    </w:p>
    <w:p>
      <w:pPr>
        <w:spacing w:before="20" w:after="20"/>
        <w:ind w:left="170"/>
      </w:pPr>
      <w:r>
        <w:rPr>
          <w:rFonts w:ascii="Calibri" w:hAnsi="Calibri"/>
          <w:b/>
          <w:color w:val="4A6B25"/>
          <w:sz w:val="15"/>
        </w:rPr>
        <w:t xml:space="preserve">6. </w:t>
      </w:r>
      <w:r>
        <w:rPr>
          <w:rFonts w:ascii="Calibri" w:hAnsi="Calibri"/>
          <w:b w:val="0"/>
          <w:color w:val="3A4A28"/>
          <w:sz w:val="17"/>
        </w:rPr>
        <w:t>Investing.com — Feltheimer Sells $1.6M in Shares; StockTitan — CEO 195,000-share Sale</w:t>
      </w:r>
    </w:p>
    <w:p>
      <w:pPr>
        <w:spacing w:before="20" w:after="20"/>
        <w:ind w:left="170"/>
      </w:pPr>
      <w:r>
        <w:rPr>
          <w:rFonts w:ascii="Calibri" w:hAnsi="Calibri"/>
          <w:b/>
          <w:color w:val="4A6B25"/>
          <w:sz w:val="15"/>
        </w:rPr>
        <w:t xml:space="preserve">7. </w:t>
      </w:r>
      <w:r>
        <w:rPr>
          <w:rFonts w:ascii="Calibri" w:hAnsi="Calibri"/>
          <w:b w:val="0"/>
          <w:color w:val="3A4A28"/>
          <w:sz w:val="17"/>
        </w:rPr>
        <w:t>AInvest — Lionsgate 9% Pop: Insiders Selling While Smart Money Exits, February 2026</w:t>
      </w:r>
    </w:p>
    <w:p>
      <w:pPr>
        <w:spacing w:before="20" w:after="20"/>
        <w:ind w:left="170"/>
      </w:pPr>
      <w:r>
        <w:rPr>
          <w:rFonts w:ascii="Calibri" w:hAnsi="Calibri"/>
          <w:b/>
          <w:color w:val="4A6B25"/>
          <w:sz w:val="15"/>
        </w:rPr>
        <w:t xml:space="preserve">8. </w:t>
      </w:r>
      <w:r>
        <w:rPr>
          <w:rFonts w:ascii="Calibri" w:hAnsi="Calibri"/>
          <w:b w:val="0"/>
          <w:color w:val="3A4A28"/>
          <w:sz w:val="17"/>
        </w:rPr>
        <w:t>Simply Wall St — Lionsgate Studios Balance Sheet &amp; Financial Health Metrics,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