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LMND</w:t>
      </w:r>
      <w:r>
        <w:rPr>
          <w:rFonts w:ascii="Calibri" w:hAnsi="Calibri"/>
          <w:b/>
          <w:color w:val="1A2010"/>
          <w:sz w:val="40"/>
        </w:rPr>
        <w:t xml:space="preserve">  Lemonade, Inc.</w:t>
      </w:r>
    </w:p>
    <w:p>
      <w:pPr>
        <w:spacing w:after="120"/>
      </w:pPr>
      <w:r>
        <w:rPr>
          <w:rFonts w:ascii="Calibri" w:hAnsi="Calibri"/>
          <w:b/>
          <w:color w:val="6E8450"/>
          <w:sz w:val="18"/>
        </w:rPr>
        <w:t>GROWTH SLEEVE · 2026-04-12 · Inspire: 31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 Property &amp; Casualty · NYSE · United States</w:t>
      </w:r>
    </w:p>
    <w:p>
      <w:pPr>
        <w:spacing w:after="80"/>
      </w:pPr>
      <w:r>
        <w:rPr>
          <w:rFonts w:ascii="Calibri" w:hAnsi="Calibri"/>
          <w:b w:val="0"/>
          <w:color w:val="3A4A28"/>
          <w:sz w:val="20"/>
        </w:rPr>
        <w:t>Lemonade is an AI-native Certified B-Corp insurance company offering renters, homeowners, pet, life, car, and contents insurance across the US, UK, Germany, France, and the Netherlands. It uses proprietary AI models (AI Maya and AI Jim) to underwrite and settle claims, and its Giveback program donates unused premiums to charities chosen by customers.</w:t>
      </w:r>
    </w:p>
    <w:p>
      <w:r>
        <w:rPr>
          <w:rFonts w:ascii="Calibri" w:hAnsi="Calibri"/>
          <w:b/>
          <w:color w:val="6E8450"/>
          <w:sz w:val="18"/>
        </w:rPr>
        <w:t>1,300 Employees · https://www.lemonade.com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Lemonade has transformed P&amp;C insurance from agent-led to AI-native in under 10 years, reaching $1.16B in-force premium (+30% YoY in Q3 2025) and trailing 12-month revenue of $738M as of Dec 2025 [1]. Gross profit more than doubled in Q3 2025 to $80M (41% gross margin), and gross profit has grown &gt;100% annually while cost structure increased only 3% — a textbook AI operating-leverage pivot [2]. AI Deployment (2/2): Lemonade 'has added more customers without adding a single employee since the emergence of ChatGPT,' and AI Maya/AI Jim handle underwriting and claims settlement end-to-end [2]. Market Share (1/2): Lemonade is the clear leader in AI-first direct insurance and the pioneer of the business model, but overall P&amp;C market share remains small versus Progressive, GEICO, State Farm. Pipeline (1/2): 2026 guide of 30% IFP growth, ~60% revenue growth, plus Tesla auto-insurance partnership and South Carolina renters expansion shipping in Q1 2026 [3]. Adjusted EBITDA positive in Q4 2026 and full-year 2027. R&amp;D Intensity (1/1): Above-average tech and AI investment as % of revenue versus traditional insurance peers, visible in the 100%+/3% gross-profit/opex spread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Lemonade's purpose — 'transform insurance from a necessary evil into a social good' via the Giveback Program — is specific, thoughtful, and differentiated in an industry famous for being trust-deficient. Daniel Schreiber has led since co-founding in 2015. Community Impact (2/2): The 2025 Giveback Program allocated $2.1M+ to 45 nonprofits and the company maintains Certified B-Corp status — evidence of distinctive community impact beyond generic CSR [3]. Employee Retention (1/2): No specific retention data, but Lemonade added customers without adding employees post-ChatGPT, which signals stability among remaining employees [2]. Insider Buying (1/2): Co-founders Schreiber and Shai Wininger retain material equity stakes and board oversight; meaningful long-term conviction, though recent insider buying activity is modest.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Lemonade is still unprofitable: ROE of -29.4%, profit margin of -22.4%, and a negative forward P/E reflect the pre-profitability state [4]. However, the balance sheet is healthy with D/E of just 29.6%, $399M cash against $182M debt, and $4.16B market cap [4]. Revenue growth is the standout metric — TTM revenue $738M, Q3 IFP growth 30%, 2026 revenue guide +60% — implying 5-year revenue CAGR well above 30% [1][3]. Gross margin of 53% (52.97%) has improved dramatically as the AI platform scales [4]. Adjusted EBITDA loss narrowed 48% YoY to $26M in Q3 2025, and management guides to positive Adj EBITDA in Q4 2026 and full-year 2027 [1]. Liquidity floor easily cleared: 76.4M shares outstanding and significant daily volume at $54.25.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Lemonade is a founder-led, mission-aligned insurtech executing a 10+ year vision to rebuild insurance from first principles using AI. The Giveback Program, B-Corp status, and consistent willingness to absorb near-term losses to build long-term capability are textbook infinite-game plays. Execution risk remains high and the finite short-interest crowd (23%) has doubts, but Sinek would see Lemonade as a company built to endure.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Lemonade's Just Cause — transform insurance from a necessary evil into a social good, aligning customer and company interests via the Giveback Program — is distinctive, genuinely lived out for 10+ years, and central to every strategic decision [2][3]. It has not yet survived a full crisis (the 2021-2022 stock collapse was tested but no pivot away from mission occurred), but it is close to Sinek's standard.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Lemonade's 'adding customers without adding employees' narrative post-ChatGPT suggests stable retention among current staff [2]. Daniel Schreiber and Shai Wininger remain co-founder-led after a decade, implying leadership continuity, though no hard retention/tenure data is disclosed and no standout Glassdoor signal was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Lemonade's narrative is frequently framed around disrupting legacy insurers rather than learning from worthy rivals. The CEO's public commentary emphasizes Lemonade's structural advantages over incumbents rather than acknowledging where competitors are superior.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Lemonade has repeatedly expanded product lines (renters → homeowners → pet → life → car) and geographies (US → EU), and the 2025 Metromile acquisition + Tesla partnership show willingness to reshape the business [3]. However, the core AI-native direct-to-consumer insurance model has not been abandoned — these are extensions, not bet-the-company pivots.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Schreiber has repeatedly absorbed public criticism, 23% short interest, and near-term losses in service of the long-term AI-native vision — refusing to pivot away from underwriting transparency and Giveback when pressured [3]. Guiding to positive Adj EBITDA Q4 2026 and 2027 with specific timelines is credible, and the Tesla partnership shows willingness to take on reputation risk for capability gains.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Lemonade is the AI-native disruptor of P&amp;C insurance, executing against a multi-year thesis that is now producing visible operating leverage: gross profit up &gt;100% annually while cost structure grew only 3%, and Q3 2025 gross profit of $80M on 41% gross margin [1][2]. TTM revenue of $738M, in-force premium of $1.16B (+30% YoY), and 2026 guidance of 30% IFP growth plus ~60% revenue growth put Lemonade on a clear glide path to positive Adjusted EBITDA in Q4 2026 and full-year 2027 [1][3]. The Tesla auto-insurance partnership, South Carolina renters expansion, and Certified B-Corp status with $2.1M+ in 2025 Giveback donations to 45 nonprofits provide a differentiated brand story, and +31 Inspire Impact Score (ALIGNED, zero negative attributions) is notable among faith-conscious portfolios [3]. Balance sheet is healthy ($399M cash vs $182M debt, 29.6% D/E).</w:t>
      </w:r>
    </w:p>
    <w:p>
      <w:pPr>
        <w:spacing w:after="120"/>
      </w:pPr>
      <w:r>
        <w:rPr>
          <w:rFonts w:ascii="Calibri" w:hAnsi="Calibri"/>
          <w:b w:val="0"/>
          <w:color w:val="3A4A28"/>
          <w:sz w:val="20"/>
        </w:rPr>
        <w:t>The bear case is near-term profitability timing, competition, and regulatory risk. Lemonade is still unprofitable on every GAAP metric — ROE -29%, profit margin -22%, forward P/E negative — and 23% short interest signals substantial market skepticism about the path to sustained profits [4]. The Giveback Program faces SEC scrutiny that could force modification or termination, weakening the ESG/brand narrative and adding regulatory overhang [3]. Competition from Progressive, GEICO, and State Farm is intensifying their own AI investments, potentially closing Lemonade's technology moat. Auto insurance (via Metromile and Tesla) remains capital-intensive with uncertain loss ratios as volume scales. Any slippage versus the Q4 2026 Adj EBITDA break-even timeline would likely trigger significant multiple compression, and the stock's inherent volatility creates position-sizing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Positive Adjusted EBITDA in Q4 2026 and full-year 2027 — the inflection point that validates the AI-native operating leverage thesis [1]</w:t>
      </w:r>
    </w:p>
    <w:p>
      <w:pPr>
        <w:spacing w:before="40" w:after="40"/>
        <w:ind w:left="283"/>
      </w:pPr>
      <w:r>
        <w:rPr>
          <w:rFonts w:ascii="Calibri" w:hAnsi="Calibri"/>
          <w:b/>
          <w:color w:val="4A6B25"/>
          <w:sz w:val="20"/>
        </w:rPr>
        <w:t xml:space="preserve">2. </w:t>
      </w:r>
      <w:r>
        <w:rPr>
          <w:rFonts w:ascii="Calibri" w:hAnsi="Calibri"/>
          <w:b w:val="0"/>
          <w:color w:val="3A4A28"/>
          <w:sz w:val="20"/>
        </w:rPr>
        <w:t>Tesla auto-insurance partnership scaling in 2026 plus geographic expansion (South Carolina renters) driving accelerated top-line growth [3]</w:t>
      </w:r>
    </w:p>
    <w:p>
      <w:pPr>
        <w:spacing w:before="40" w:after="40"/>
        <w:ind w:left="283"/>
      </w:pPr>
      <w:r>
        <w:rPr>
          <w:rFonts w:ascii="Calibri" w:hAnsi="Calibri"/>
          <w:b/>
          <w:color w:val="4A6B25"/>
          <w:sz w:val="20"/>
        </w:rPr>
        <w:t xml:space="preserve">3. </w:t>
      </w:r>
      <w:r>
        <w:rPr>
          <w:rFonts w:ascii="Calibri" w:hAnsi="Calibri"/>
          <w:b w:val="0"/>
          <w:color w:val="3A4A28"/>
          <w:sz w:val="20"/>
        </w:rPr>
        <w:t>30% IFP growth in 2026 with ~60% revenue growth demonstrating sustained customer acquisition momentum under AI-native operating leverage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Path to profitability timing slippage — any miss versus Q4 2026 Adj EBITDA break-even would trigger significant multiple compression given 23% short interest [4]</w:t>
      </w:r>
    </w:p>
    <w:p>
      <w:pPr>
        <w:spacing w:before="40" w:after="40"/>
        <w:ind w:left="283"/>
      </w:pPr>
      <w:r>
        <w:rPr>
          <w:rFonts w:ascii="Calibri" w:hAnsi="Calibri"/>
          <w:b/>
          <w:color w:val="4A6B25"/>
          <w:sz w:val="20"/>
        </w:rPr>
        <w:t xml:space="preserve">2. </w:t>
      </w:r>
      <w:r>
        <w:rPr>
          <w:rFonts w:ascii="Calibri" w:hAnsi="Calibri"/>
          <w:b w:val="0"/>
          <w:color w:val="3A4A28"/>
          <w:sz w:val="20"/>
        </w:rPr>
        <w:t>SEC regulatory scrutiny of the Giveback Program could force program modification or termination, undermining the core ESG/brand differentiation [3]</w:t>
      </w:r>
    </w:p>
    <w:p>
      <w:pPr>
        <w:spacing w:before="40" w:after="40"/>
        <w:ind w:left="283"/>
      </w:pPr>
      <w:r>
        <w:rPr>
          <w:rFonts w:ascii="Calibri" w:hAnsi="Calibri"/>
          <w:b/>
          <w:color w:val="4A6B25"/>
          <w:sz w:val="20"/>
        </w:rPr>
        <w:t xml:space="preserve">3. </w:t>
      </w:r>
      <w:r>
        <w:rPr>
          <w:rFonts w:ascii="Calibri" w:hAnsi="Calibri"/>
          <w:b w:val="0"/>
          <w:color w:val="3A4A28"/>
          <w:sz w:val="20"/>
        </w:rPr>
        <w:t>Competitive AI response from Progressive, GEICO, State Farm and others closing Lemonade's AI moat while Lemonade remains a subscale auto insurer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Lemonade IS AI infrastructure for insurance — the company cannot be disrupted by the thing it is building [2]. Whereas legacy insurers (State Farm, Allstate, AIG) face clear AI substitution risk on underwriting and claims labor, Lemonade is the native version of what AI-transformed insurance looks like. The '100% gross profit growth on 3% cost growth' data point is the proof [2]. Analysts frame Lemonade as an AI winner, not a victim, though scale and loss-ratio discipline in auto remain to be validated. AI Opportunity (1/1): AI revenue is not a separate line — the entire $738M TTM revenue base is generated via AI-driven underwriting, claims, and customer service, and the Tesla auto-insurance partnership is explicitly an AI-enabled product launch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Lemonade Q4 2025 / Q3 2025 Earnings Releases — TTM revenue $738M, IFP $1.16B (+30%), Adj EBITDA loss narrowed 48% to $26M, 2026/2027 profitability guide, February 2026</w:t>
      </w:r>
    </w:p>
    <w:p>
      <w:pPr>
        <w:spacing w:before="20" w:after="20"/>
        <w:ind w:left="170"/>
      </w:pPr>
      <w:r>
        <w:rPr>
          <w:rFonts w:ascii="Calibri" w:hAnsi="Calibri"/>
          <w:b/>
          <w:color w:val="4A6B25"/>
          <w:sz w:val="15"/>
        </w:rPr>
        <w:t xml:space="preserve">2. </w:t>
      </w:r>
      <w:r>
        <w:rPr>
          <w:rFonts w:ascii="Calibri" w:hAnsi="Calibri"/>
          <w:b w:val="0"/>
          <w:color w:val="3A4A28"/>
          <w:sz w:val="17"/>
        </w:rPr>
        <w:t>Daniel Schreiber CEO commentary / CTech / Calcalist — '100% gross profit growth on 3% cost growth,' AI Maya/Jim, customers added without adding employees post-ChatGPT</w:t>
      </w:r>
    </w:p>
    <w:p>
      <w:pPr>
        <w:spacing w:before="20" w:after="20"/>
        <w:ind w:left="170"/>
      </w:pPr>
      <w:r>
        <w:rPr>
          <w:rFonts w:ascii="Calibri" w:hAnsi="Calibri"/>
          <w:b/>
          <w:color w:val="4A6B25"/>
          <w:sz w:val="15"/>
        </w:rPr>
        <w:t xml:space="preserve">3. </w:t>
      </w:r>
      <w:r>
        <w:rPr>
          <w:rFonts w:ascii="Calibri" w:hAnsi="Calibri"/>
          <w:b w:val="0"/>
          <w:color w:val="3A4A28"/>
          <w:sz w:val="17"/>
        </w:rPr>
        <w:t>Ainvest / Sustainalytics / Lemonade investor materials — B-Corp status, 2025 Giveback $2.1M to 45 nonprofits, SEC regulatory scrutiny of Giveback, Tesla partnership, South Carolina expansion</w:t>
      </w:r>
    </w:p>
    <w:p>
      <w:pPr>
        <w:spacing w:before="20" w:after="20"/>
        <w:ind w:left="170"/>
      </w:pPr>
      <w:r>
        <w:rPr>
          <w:rFonts w:ascii="Calibri" w:hAnsi="Calibri"/>
          <w:b/>
          <w:color w:val="4A6B25"/>
          <w:sz w:val="15"/>
        </w:rPr>
        <w:t xml:space="preserve">4. </w:t>
      </w:r>
      <w:r>
        <w:rPr>
          <w:rFonts w:ascii="Calibri" w:hAnsi="Calibri"/>
          <w:b w:val="0"/>
          <w:color w:val="3A4A28"/>
          <w:sz w:val="17"/>
        </w:rPr>
        <w:t>StockAnalysis / Yahoo Finance / MacroTrends — LMND $54.25 stock price, $4.16B market cap, D/E 29.63%, ROE -29.37%, profit margin -22.43%, 23% short interest,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