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LNAI</w:t>
      </w:r>
      <w:r>
        <w:rPr>
          <w:rFonts w:ascii="Calibri" w:hAnsi="Calibri"/>
          <w:b/>
          <w:color w:val="1A2010"/>
          <w:sz w:val="40"/>
        </w:rPr>
        <w:t xml:space="preserve">  Lunai Bioworks Inc.</w:t>
      </w:r>
    </w:p>
    <w:p>
      <w:pPr>
        <w:spacing w:after="120"/>
      </w:pPr>
      <w:r>
        <w:rPr>
          <w:rFonts w:ascii="Calibri" w:hAnsi="Calibri"/>
          <w:b/>
          <w:color w:val="6E8450"/>
          <w:sz w:val="18"/>
        </w:rPr>
        <w:t>GROWTH SLEEVE · 2026-03-24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Lunai Bioworks Inc. (formerly Renovaro Inc.) is a pre-clinical stage biotechnology company focused on AI-powered biodefense, drug discovery, and advanced diagnostics. The company acquired BioSymetrics in April 2025 and changed its name to Lunai Bioworks in August 2025, pivoting toward computational biology and AI/machine learning applications in biosecurity.</w:t>
      </w:r>
    </w:p>
    <w:p>
      <w:r>
        <w:rPr>
          <w:rFonts w:ascii="Calibri" w:hAnsi="Calibri"/>
          <w:b/>
          <w:color w:val="6E8450"/>
          <w:sz w:val="18"/>
        </w:rPr>
        <w:t>29 Employees · https://www.lunaibioworks.com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Lunai Bioworks changed its corporate identity and strategic direction twice in 2025 — the name change to Lunai Bioworks in August 2025 and the BioSymetrics acquisition — but these represent repositioning, not successful execution (0 points Innovation Track Record as no products have reached market)[1]. The company's AI/machine learning positioning for biodefense drug discovery is the company's core thesis, earning 1 point for AI exploration, but with 29 employees and pre-clinical stage, there are no AI products with measurable results. No market share exists for a pre-clinical company — scoring 0. Pipeline is vague with no specific timelines or revenue visibility — scoring 0. R&amp;D intensity is high relative to revenue (zero) but meaningless at this scale — scoring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Lunai's stated mission of applying AI to biodefense and drug discovery to protect human health is genuinely aspirational — scoring 2 on mission floor. However, with only 29 employees after significant workforce reduction from a 93.95% stock decline over 52 weeks, the organizational expression of this mission is severely limited. No community charitable programs at this scale — scoring 0. Retention is undermined by the company's financial distress and near-Nasdaq-delisting events — scoring 0. No insider buying evidence; share count increased 49% in one year through dilutive capital raises — scoring 1 for unfavorable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LNAI triggers the liquidity floor: stock price $0.5568 × avg daily volume of approximately 300,000 shares = ~$167,000, well below the $1,000,000 threshold. The stock is effectively illiquid for IOWN trading purposes. The company has $624,808 in cash, $2.71M in debt, -$178M TTM net income, ROE of -308%, current ratio of 0.04, and no revenue. All metrics are at or well below floor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Lunai Bioworks is in survival mode — near-Nasdaq-delisting events, a 93.95% stock decline over 52 weeks, a current ratio of 0.04, and only 29 employees define a company fighting for existence rather than playing an infinite game. The two major strategic pivots in 2025 (BioSymetrics acquisition, Lunai rebrand) appear to be financial survival pivots rather than mission-driven strategic choices.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of protecting humanity through AI-powered biodefense is theoretically a Just Cause — but with 29 employees and $624K cash, there is no organizational capacity to pursue it meaningfully. It reads as aspirational positioning for a near-failing company. Scores 0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Near-Nasdaq-delisting, 93.95% stock decline, multiple strategic pivots, and share count up 49% in one year through dilutive raises indicate organizational distress. Scores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awareness or rivalry-driven improvement strategy. Scores 0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pivoted repeatedly — Renovaro → Lunai Bioworks, adding AI biodefense — but these pivots appear to be desperation repositioning rather than mission-driven strategy. Scores 0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strategic decisions. Financial decisions have been reactive — emergency capital raises to survive. Scores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Lunai Bioworks' bull case requires a venture-stage leap of faith: if the BioSymetrics AI platform produces a drug discovery or biodefense breakthrough that attracts partnership or acquisition interest from a major pharma or defense company, the stock's near-zero base could produce extraordinary returns. The biodefense market is genuinely growing in the context of biosecurity concerns, and AI drug discovery is a legitimate emerging sector with real value creation potential[1].</w:t>
      </w:r>
    </w:p>
    <w:p>
      <w:pPr>
        <w:spacing w:after="120"/>
      </w:pPr>
      <w:r>
        <w:rPr>
          <w:rFonts w:ascii="Calibri" w:hAnsi="Calibri"/>
          <w:b w:val="0"/>
          <w:color w:val="3A4A28"/>
          <w:sz w:val="20"/>
        </w:rPr>
        <w:t>The bear case is overwhelming and near-term. The company has $624K in cash against $2.71M in debt, a current ratio of 0.04, only 29 employees, negative ROE of -308%, faced Nasdaq delisting proceedings in February 2026, and has lost 93.95% of its value over 52 weeks[1]. Average daily volume × price is approximately $167K, well below the IOWN $1M liquidity floor. This is a company that cannot be prudently invested in by any institutional-grade process. The AI biodefense narrative is strategy, not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partnership or acquisition from a major pharmaceutical or defense contractor that validates the AI biodefense platform and provides capital and resources to execute</w:t>
      </w:r>
    </w:p>
    <w:p>
      <w:pPr>
        <w:spacing w:before="40" w:after="40"/>
        <w:ind w:left="283"/>
      </w:pPr>
      <w:r>
        <w:rPr>
          <w:rFonts w:ascii="Calibri" w:hAnsi="Calibri"/>
          <w:b/>
          <w:color w:val="4A6B25"/>
          <w:sz w:val="20"/>
        </w:rPr>
        <w:t xml:space="preserve">2. </w:t>
      </w:r>
      <w:r>
        <w:rPr>
          <w:rFonts w:ascii="Calibri" w:hAnsi="Calibri"/>
          <w:b w:val="0"/>
          <w:color w:val="3A4A28"/>
          <w:sz w:val="20"/>
        </w:rPr>
        <w:t>BioSymetrics AI platform producing a validated drug discovery result or biomarker identification that attracts NIH or BARDA grant funding, extending cash runway</w:t>
      </w:r>
    </w:p>
    <w:p>
      <w:pPr>
        <w:spacing w:before="40" w:after="40"/>
        <w:ind w:left="283"/>
      </w:pPr>
      <w:r>
        <w:rPr>
          <w:rFonts w:ascii="Calibri" w:hAnsi="Calibri"/>
          <w:b/>
          <w:color w:val="4A6B25"/>
          <w:sz w:val="20"/>
        </w:rPr>
        <w:t xml:space="preserve">3. </w:t>
      </w:r>
      <w:r>
        <w:rPr>
          <w:rFonts w:ascii="Calibri" w:hAnsi="Calibri"/>
          <w:b w:val="0"/>
          <w:color w:val="3A4A28"/>
          <w:sz w:val="20"/>
        </w:rPr>
        <w:t>Successful Nasdaq compliance with minimum bid price and continued listing, preventing forced investor liquidation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 the company faced a bid price breach in February 2026 and remains at risk of delisting which would effectively end institutional access and accelerate the path to zero</w:t>
      </w:r>
    </w:p>
    <w:p>
      <w:pPr>
        <w:spacing w:before="40" w:after="40"/>
        <w:ind w:left="283"/>
      </w:pPr>
      <w:r>
        <w:rPr>
          <w:rFonts w:ascii="Calibri" w:hAnsi="Calibri"/>
          <w:b/>
          <w:color w:val="4A6B25"/>
          <w:sz w:val="20"/>
        </w:rPr>
        <w:t xml:space="preserve">2. </w:t>
      </w:r>
      <w:r>
        <w:rPr>
          <w:rFonts w:ascii="Calibri" w:hAnsi="Calibri"/>
          <w:b w:val="0"/>
          <w:color w:val="3A4A28"/>
          <w:sz w:val="20"/>
        </w:rPr>
        <w:t>Cash exhaustion — $624K in cash with $2.71M in debt and no revenue means the company faces imminent capital need; any raise will be severely dilutive at $0.56 per share</w:t>
      </w:r>
    </w:p>
    <w:p>
      <w:pPr>
        <w:spacing w:before="40" w:after="40"/>
        <w:ind w:left="283"/>
      </w:pPr>
      <w:r>
        <w:rPr>
          <w:rFonts w:ascii="Calibri" w:hAnsi="Calibri"/>
          <w:b/>
          <w:color w:val="4A6B25"/>
          <w:sz w:val="20"/>
        </w:rPr>
        <w:t xml:space="preserve">3. </w:t>
      </w:r>
      <w:r>
        <w:rPr>
          <w:rFonts w:ascii="Calibri" w:hAnsi="Calibri"/>
          <w:b w:val="0"/>
          <w:color w:val="3A4A28"/>
          <w:sz w:val="20"/>
        </w:rPr>
        <w:t>Team collapse — at 29 employees, the loss of 2-3 key scientists or engineers could eliminate the company's ability to advance its AI biodefense platform entirely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Lunai Bioworks' entire strategic thesis is AI-driven biodefense and drug discovery — making it theoretically an AI enabler rather than a victim[1]. However, the company competes in an AI biotech space where vastly better-capitalized players (Recursion Pharmaceuticals, Schrodinger, BioNTech's AI division, DeepMind's AlphaFold team) have years of head start, more data, and orders of magnitude more capital. LNAI's 29-person team with $624K in cash cannot compete meaningfully with these players, meaning the AI position is marketing rather than competitive advantage. AI does not threaten the concept of biodefense drug discovery, but LNAI specifically has no defensible AI moat. Scores 4 on AI Risk Protection and 0 on AI Opportunity tiebreaker.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'Lunai Bioworks Inc. (LNAI) Stock Price, News, Quote &amp; History', March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'Lunai Bioworks Statistics &amp; Valuation', March 2026</w:t>
      </w:r>
    </w:p>
    <w:p>
      <w:pPr>
        <w:spacing w:before="20" w:after="20"/>
        <w:ind w:left="170"/>
      </w:pPr>
      <w:r>
        <w:rPr>
          <w:rFonts w:ascii="Calibri" w:hAnsi="Calibri"/>
          <w:b/>
          <w:color w:val="4A6B25"/>
          <w:sz w:val="15"/>
        </w:rPr>
        <w:t xml:space="preserve">3. </w:t>
      </w:r>
      <w:r>
        <w:rPr>
          <w:rFonts w:ascii="Calibri" w:hAnsi="Calibri"/>
          <w:b w:val="0"/>
          <w:color w:val="3A4A28"/>
          <w:sz w:val="17"/>
        </w:rPr>
        <w:t>PitchBook, 'Lunai Bioworks 2026 Company Profile', 2026</w:t>
      </w:r>
    </w:p>
    <w:p>
      <w:pPr>
        <w:spacing w:before="20" w:after="20"/>
        <w:ind w:left="170"/>
      </w:pPr>
      <w:r>
        <w:rPr>
          <w:rFonts w:ascii="Calibri" w:hAnsi="Calibri"/>
          <w:b/>
          <w:color w:val="4A6B25"/>
          <w:sz w:val="15"/>
        </w:rPr>
        <w:t xml:space="preserve">4. </w:t>
      </w:r>
      <w:r>
        <w:rPr>
          <w:rFonts w:ascii="Calibri" w:hAnsi="Calibri"/>
          <w:b w:val="0"/>
          <w:color w:val="3A4A28"/>
          <w:sz w:val="17"/>
        </w:rPr>
        <w:t>MarketBeat, 'Lunai Bioworks LNAI Stock',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