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LNC</w:t>
      </w:r>
      <w:r>
        <w:rPr>
          <w:rFonts w:ascii="Calibri" w:hAnsi="Calibri"/>
          <w:b/>
          <w:color w:val="1A2010"/>
          <w:sz w:val="40"/>
        </w:rPr>
        <w:t xml:space="preserve">  Lincoln National Corporation</w:t>
      </w:r>
    </w:p>
    <w:p>
      <w:pPr>
        <w:spacing w:after="120"/>
      </w:pPr>
      <w:r>
        <w:rPr>
          <w:rFonts w:ascii="Calibri" w:hAnsi="Calibri"/>
          <w:b/>
          <w:color w:val="6E8450"/>
          <w:sz w:val="18"/>
        </w:rPr>
        <w:t>DIVIDEND SLEEVE · 2026-04-16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Lincoln National Corporation, through its subsidiary Lincoln Financial Group, operates as a diversified financial services company in the United States. It provides annuities, retirement plan services, life insurance, group protection (disability, dental, vision), and investment management products to individuals and employers.</w:t>
      </w:r>
    </w:p>
    <w:p>
      <w:r>
        <w:rPr>
          <w:rFonts w:ascii="Calibri" w:hAnsi="Calibri"/>
          <w:b/>
          <w:color w:val="6E8450"/>
          <w:sz w:val="18"/>
        </w:rPr>
        <w:t>9,423 Employees · https://www.lincolnfinancial.com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Lincoln Financial's most significant recent strategic move was the reinsurance restructuring of its legacy variable annuity block, which de-risked the balance sheet but was a defensive action rather than an offensive innovation (1 point on track record) [1]. The company appointed Nilanjan Adhya as Chief AI, Data and Analytics Officer in January 2026 and partnered with EvolutionIQ for AI-driven claims guidance, representing concrete AI deployment steps (1 point) [3]. Lincoln is a major life insurer and annuity provider but has been losing ground to competitors in annuity sales, earning 1 point for market presence but not leadership [1]. No specific next-gen products with launch dates discussed (0 points). R&amp;D intensity is typical for a life insurer (0 points).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Lincoln Financial's purpose of helping Americans 'take charge of their financial lives' is clear and connected to real consumer need (retirement security), but generic among life insurance peers — earning a mission floor of 2 [4]. The company has invested $3.9 billion of general account assets in responsible investments advancing social and environmental goals, with published CSR reports, earning 1 point for community impact [4]. Glassdoor reviews are mixed — some cite 'great culture and people' while others describe the company as 'afraid to adapt and innovate' with 'poor leadership,' preventing an employee retention point (0 points) [3]. No evidence of meaningful net insider buying (0 points).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Lincoln National's balance sheet is healthy with D/E of 64.7%, well within the 70% target [2]. Forward P/E of 4.3x is extremely cheap, reflecting market skepticism about legacy VA guarantee exposure. ROE of 12.3% is below the 15% target but improving. Revenue declined 3.1% YoY. Profit margin of 6.4% is thin for a financial services company. The 5.0% dividend yield at a 30.9% payout ratio is well-covered, but the dividend has been frozen at $0.45/quarter since at least 2022 — consecutive years of growth is 0, and the 5-year dividend growth CAGR is approximately 0%, scoring poorly on both growth metrics despite 30+ years of consecutive payments.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Lincoln National is a legacy life insurer stabilizing after a near-crisis in 2022 from variable annuity guarantee exposure. The company is focused on financial engineering (reinsurance, capital return) rather than building transformative capability, reflecting a finite mindset oriented toward survival and quarterly earnings recovery.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Lincoln Financial's mission around helping Americans achieve 'financial security and peace of mind' is genuine and connects to a real societal need, but it is indistinguishable from any other life insurer's purpose statement (1 point) [4]. Management commentary focuses on adjusted operating income, capital ratios, and reinsurance transactions rather than advancing a vision of financial security for underserved Americans.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organizational trust. Some Glassdoor reviews praise 'great culture and people' and benefits including tuition reimbursement and financial advisory services [3]. However, others describe the company as 'afraid to adapt and innovate' with 'poor leadership,' and the legacy VA crisis likely eroded internal confidence. CEO Ellen Cooper has provided 3.8 years of stable leadership after an unstable period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Lincoln Financial competes with MetLife, Prudential, and Principal in a concentrated life insurance market but shows no evidence of acknowledging competitors' strengths or using competitive pressure for self-improvement. Strategic language focuses on market share recovery and capital return rather than learning from industry leaders (0 points)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Lincoln National has operated the same life insurance, annuity, and group benefits business model for decades with no fundamental reinvention. The reinsurance restructuring of the legacy VA block was a risk management necessity, not a proactive strategic pivot. The company has not entered new markets or abandoned core businesses in service of a larger purpose (0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Ellen Cooper's decision to reinsure the legacy variable annuity block — accepting upfront costs to de-risk the balance sheet — required difficult trade-offs that prioritized long-term stability over near-term earnings (1 point) [1]. The appointment of a Chief AI Officer signals forward-looking investment. However, the frozen dividend since 2022 suggests leadership is still in stabilization mode rather than making bold growth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Lincoln National at 4.3x forward earnings with a 5.0% dividend yield and 30.9% payout ratio offers deep value in a stabilizing life insurance franchise [1][2]. CEO Ellen Cooper's reinsurance restructuring of the legacy VA block has materially de-risked the balance sheet, while D/E of 64.7% is conservative for the insurance industry. Consensus estimates project $8.01 EPS for FY2026, implying meaningful earnings recovery from the legacy headwinds. The appointment of a Chief AI Officer signals modernization commitment, and group protection margins are targeting 8%+ [1][3].</w:t>
      </w:r>
    </w:p>
    <w:p>
      <w:pPr>
        <w:spacing w:after="120"/>
      </w:pPr>
      <w:r>
        <w:rPr>
          <w:rFonts w:ascii="Calibri" w:hAnsi="Calibri"/>
          <w:b w:val="0"/>
          <w:color w:val="3A4A28"/>
          <w:sz w:val="20"/>
        </w:rPr>
        <w:t>The bear case centers on legacy risk and business stagnation. Earnings declined 60.7% YoY in Q4 2025, and revenue fell 3.1%, reflecting ongoing challenges from variable annuity guarantee exposure and moderating annuity sales [1]. The dividend has been frozen at $0.45/quarter since at least 2022, with zero growth despite a low payout ratio — management is prioritizing capital preservation over shareholder returns. Profit margin of only 6.4% is thin for a financial services company, and ROE of 12.3% lags peers like MetLife and Prudential. Glassdoor reviews describing the company as 'afraid to adapt and innovate' suggest organizational inertia that could limit turnaround execution [3]. Interest rate sensitivity cuts both ways — rising rates help the investment portfolio but can suppress annuity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toward $8.01 consensus EPS for FY2026 would validate the turnaround thesis and potentially trigger dividend growth resumption from the 30.9% payout ratio [1]</w:t>
      </w:r>
    </w:p>
    <w:p>
      <w:pPr>
        <w:spacing w:before="40" w:after="40"/>
        <w:ind w:left="283"/>
      </w:pPr>
      <w:r>
        <w:rPr>
          <w:rFonts w:ascii="Calibri" w:hAnsi="Calibri"/>
          <w:b/>
          <w:color w:val="4A6B25"/>
          <w:sz w:val="20"/>
        </w:rPr>
        <w:t xml:space="preserve">2. </w:t>
      </w:r>
      <w:r>
        <w:rPr>
          <w:rFonts w:ascii="Calibri" w:hAnsi="Calibri"/>
          <w:b w:val="0"/>
          <w:color w:val="3A4A28"/>
          <w:sz w:val="20"/>
        </w:rPr>
        <w:t>Chief AI Officer Neel Adhya's AI-driven operational improvements could reduce claims processing costs and enhance underwriting accuracy, improving margins in group protection toward the 8%+ target [3]</w:t>
      </w:r>
    </w:p>
    <w:p>
      <w:pPr>
        <w:spacing w:before="40" w:after="40"/>
        <w:ind w:left="283"/>
      </w:pPr>
      <w:r>
        <w:rPr>
          <w:rFonts w:ascii="Calibri" w:hAnsi="Calibri"/>
          <w:b/>
          <w:color w:val="4A6B25"/>
          <w:sz w:val="20"/>
        </w:rPr>
        <w:t xml:space="preserve">3. </w:t>
      </w:r>
      <w:r>
        <w:rPr>
          <w:rFonts w:ascii="Calibri" w:hAnsi="Calibri"/>
          <w:b w:val="0"/>
          <w:color w:val="3A4A28"/>
          <w:sz w:val="20"/>
        </w:rPr>
        <w:t>Completion of legacy VA block reinsurance restructuring removes the overhang that has depressed valuation to 4.3x forward earnings, potentially enabling a re-rating toward peers at 8-10x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Residual variable annuity guarantee exposure could generate further reserve charges if equity markets decline or interest rates fall significantly, echoing the 2022 near-crisis [1]</w:t>
      </w:r>
    </w:p>
    <w:p>
      <w:pPr>
        <w:spacing w:before="40" w:after="40"/>
        <w:ind w:left="283"/>
      </w:pPr>
      <w:r>
        <w:rPr>
          <w:rFonts w:ascii="Calibri" w:hAnsi="Calibri"/>
          <w:b/>
          <w:color w:val="4A6B25"/>
          <w:sz w:val="20"/>
        </w:rPr>
        <w:t xml:space="preserve">2. </w:t>
      </w:r>
      <w:r>
        <w:rPr>
          <w:rFonts w:ascii="Calibri" w:hAnsi="Calibri"/>
          <w:b w:val="0"/>
          <w:color w:val="3A4A28"/>
          <w:sz w:val="20"/>
        </w:rPr>
        <w:t>Frozen dividend since 2022 signals management uncertainty about future earnings stability — any further earnings deterioration could force a dividend cut rather than growth</w:t>
      </w:r>
    </w:p>
    <w:p>
      <w:pPr>
        <w:spacing w:before="40" w:after="40"/>
        <w:ind w:left="283"/>
      </w:pPr>
      <w:r>
        <w:rPr>
          <w:rFonts w:ascii="Calibri" w:hAnsi="Calibri"/>
          <w:b/>
          <w:color w:val="4A6B25"/>
          <w:sz w:val="20"/>
        </w:rPr>
        <w:t xml:space="preserve">3. </w:t>
      </w:r>
      <w:r>
        <w:rPr>
          <w:rFonts w:ascii="Calibri" w:hAnsi="Calibri"/>
          <w:b w:val="0"/>
          <w:color w:val="3A4A28"/>
          <w:sz w:val="20"/>
        </w:rPr>
        <w:t>Life insurance industry faces secular headwinds from declining term life demand among younger demographics and growing competition from low-cost digital insurers and insurtechs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Life insurance and annuity businesses are deeply regulated, require state-licensed carriers, and depend on actuarial reserve requirements that AI cannot circumvent — the core business is structurally protected from AI displacement (6 points risk protection) [1]. However, AI-powered insurtech competitors could streamline underwriting and claims processes, potentially pressuring margins. Lincoln is proactively addressing this by appointing a Chief AI Officer and deploying EvolutionIQ for AI-driven claims guidance, positioning as an AI adopter rather than victim [3]. The company generates early-stage AI-driven operational efficiencies though no quantifiable AI revenue yet (1 point AI opportunity for measurable claims processing improvements).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Lincoln National Q4 2025 Earnings Release and Call Transcript,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LNC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Lincoln Financial AI Strategy and Chief AI Officer Appointment, BusinessWire, December 2025</w:t>
      </w:r>
    </w:p>
    <w:p>
      <w:pPr>
        <w:spacing w:before="20" w:after="20"/>
        <w:ind w:left="170"/>
      </w:pPr>
      <w:r>
        <w:rPr>
          <w:rFonts w:ascii="Calibri" w:hAnsi="Calibri"/>
          <w:b/>
          <w:color w:val="4A6B25"/>
          <w:sz w:val="15"/>
        </w:rPr>
        <w:t xml:space="preserve">4. </w:t>
      </w:r>
      <w:r>
        <w:rPr>
          <w:rFonts w:ascii="Calibri" w:hAnsi="Calibri"/>
          <w:b w:val="0"/>
          <w:color w:val="3A4A28"/>
          <w:sz w:val="17"/>
        </w:rPr>
        <w:t>Lincoln Financial Corporate Social Responsibility and ESG Reports,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