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LNKS</w:t>
      </w:r>
      <w:r>
        <w:rPr>
          <w:rFonts w:ascii="Calibri" w:hAnsi="Calibri"/>
          <w:b/>
          <w:color w:val="1A2010"/>
          <w:sz w:val="40"/>
        </w:rPr>
        <w:t xml:space="preserve">  Linkers Industries Limited</w:t>
      </w:r>
    </w:p>
    <w:p>
      <w:pPr>
        <w:spacing w:after="120"/>
      </w:pPr>
      <w:r>
        <w:rPr>
          <w:rFonts w:ascii="Calibri" w:hAnsi="Calibri"/>
          <w:b/>
          <w:color w:val="6E8450"/>
          <w:sz w:val="18"/>
        </w:rPr>
        <w:t>GROWTH SLEEVE · 2026-04-08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Malaysia</w:t>
      </w:r>
    </w:p>
    <w:p>
      <w:pPr>
        <w:spacing w:after="80"/>
      </w:pPr>
      <w:r>
        <w:rPr>
          <w:rFonts w:ascii="Calibri" w:hAnsi="Calibri"/>
          <w:b w:val="0"/>
          <w:color w:val="3A4A28"/>
          <w:sz w:val="20"/>
        </w:rPr>
        <w:t>Linkers Industries Limited, through its subsidiary TEM Electronics (M) Sdn. Bhd., manufactures and supplies wire and cable harnesses in Malaysia, Thailand, Switzerland, the United States, and internationally. The company serves brand name and original equipment manufacturers in the home appliances, industrial products, and automotive industries. Founded in 1995 and headquartered in Sungai Petani, Malaysia.</w:t>
      </w:r>
    </w:p>
    <w:p>
      <w:r>
        <w:rPr>
          <w:rFonts w:ascii="Calibri" w:hAnsi="Calibri"/>
          <w:b/>
          <w:color w:val="6E8450"/>
          <w:sz w:val="18"/>
        </w:rPr>
        <w:t>190 Employees · https://www.linkers-hk.com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Linkers Industries is a small-cap wire harness manufacturer with no evidence of meaningful innovation track record, patent portfolio, or technology differentiation — the company produces commodity wiring and cable harness products for OEMs with limited proprietary value [1][2]. AI Deployment (0/2): No AI or advanced technology deployment was identified in any public disclosures; the company operates traditional manual and semi-automated manufacturing processes for cable assemblies [2]. Market Share (1/2): Linkers serves a niche in wire harness manufacturing for home appliances and industrial products across Asia-Pacific, with some international client relationships, though its $22.4 million revenue and $2.7 million market cap indicate negligible market share in the global wiring harness industry [1][4]. Pipeline (0/2): No product pipeline, R&amp;D initiatives, or new technology development were identified; the recent MOU to increase equity in LPW Electronics (Thailand) represents geographic expansion rather than product innovation [1]. R&amp;D Intensity (1/1): While specific R&amp;D spending data is unavailable, the company's manufacturing operations require some ongoing process engineering and quality management investment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Linkers Industries has no publicly articulated mission or purpose statement beyond basic manufacturing operations; the company's public communications focus on product capabilities rather than any aspirational vision [2]. Community Impact (0/2): No community engagement programs, charitable initiatives, sustainability commitments, or social impact efforts were identified in available disclosures for this 190-person Malaysian manufacturer [3]. Employee Retention (1/2): With 190 employees and a 29-year operating history since 1995, the company has demonstrated basic organizational stability, though no specific retention metrics, cultural initiatives, or leadership development programs were identified [2][4]. Insider Buying (0/2): No evidence of insider buying activity was found in available data, and the $2.7 million market cap and minimal analyst coverage make insider transaction data extremely limited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zero due to the LIQUIDITY FLOOR hard rule: average daily volume of 313,513 shares multiplied by the $1.69 stock price yields daily dollar volume of approximately $530,000, well below the $1,000,000 minimum threshold [4]. Even without the liquidity floor, the score would be only 2/10: while debt-to-equity of 17.6% is conservatively low, all other metrics are deeply problematic — ROE of -17.8%, profit margin of -22.0%, revenue declining at an 11.6% 3-year CAGR from $32.5 million (2022) to $22.4 million (2025), no forward P/E due to unprofitability, and no PEG ratio [1][4]. The $2.7 million market cap classifies this as a nano-cap stock with severe liquidity and price discovery limitations.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Linkers Industries exhibits a finite game orientation characterized by short-term survival focus in a commodity manufacturing business with declining revenue, negative profitability, and minimal strategic vision beyond basic operational continuity. The company's 29-year operating history demonstrates endurance, but the absence of articulated purpose, leadership visibility, competitive awareness, or strategic flexibility suggests a company playing to survive the current quarter rather than building for long-term relevance [1][2].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Linkers Industries has no publicly articulated just cause, mission statement, or aspirational purpose beyond manufacturing wire harnesses for OEM customers [2]. The company's public communications are limited to basic operational and financial disclosures without any vision for how the organization serves a purpose larger than its products. A 190-person wire harness manufacturer without a stated mission earns the minimum display score.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trust-building initiatives, cultural programs, leadership development, employee engagement efforts, or organizational values was identified in available disclosures [2][3]. With 190 employees and minimal public communications, the company provides no visibility into its internal organizational dynamics. The absence of any cultural narrative or employee-focused messaging suggests limited intentional investment in team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Linkers' leadership acknowledging specific competitors in the wire harness manufacturing industry or using competitive dynamics constructively [1][2]. The company operates in a fragmented commodity market where competitive awareness is essential for survival, but no public statements demonstrate this awareness at a strategic level.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recent MOU to increase equity in LPW Electronics in Thailand represents some willingness to expand geographically and diversify manufacturing capacity beyond Malaysia [1]. The company has also maintained operations across multiple end markets (home appliances, industrial products, automotive) and geographies (Malaysia, Thailand, Switzerland, United States), demonstrating basic strategic diversification over its 29-year history, though this is standard business practice rather than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bold strategic decisions, long-term investments at the expense of short-term results, or leadership courage was identified [1][2]. The company's financial profile — declining revenue, negative margins, and a $2.7 million market cap — suggests a business in managed decline rather than one making courageous investments to transform its competitive position. The LPW Electronics equity increase is the only recent strategic initiative identified, representing modest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Linkers Industries is a nano-cap ($2.7 million market cap) Malaysian wire harness manufacturer that fails to meet basic IOWN screening criteria across virtually every dimension [1][4]. The company's infrastructure score is zero due to the liquidity floor hard rule — daily dollar volume of approximately $530,000 is well below the $1 million minimum — and the underlying financial metrics are deeply challenged with -17.8% ROE, -22.0% profit margin, and an 11.6% revenue CAGR decline over three years [4]. The stock has collapsed from a 52-week high of $420 to $1.69, representing a 99.6% drawdown that signals severe structural or governance issues.</w:t>
      </w:r>
    </w:p>
    <w:p>
      <w:pPr>
        <w:spacing w:after="120"/>
      </w:pPr>
      <w:r>
        <w:rPr>
          <w:rFonts w:ascii="Calibri" w:hAnsi="Calibri"/>
          <w:b w:val="0"/>
          <w:color w:val="3A4A28"/>
          <w:sz w:val="20"/>
        </w:rPr>
        <w:t>The company operates in commodity wire harness manufacturing with no innovation, no AI capability, no articulated mission, and no competitive differentiation beyond low-cost Malaysian labor [2]. Revenue has declined from $32.5 million in 2022 to $22.4 million in 2025, losses widened 146.8% year-over-year, and the nano-cap status creates extreme liquidity risk where even small trades can move the stock dramatically [1][4]. The SELL recommendation reflects a company that scores below threshold on every IOWN dimension — this is not a viable investment candidate under the Return on Intention framework regardless of any potential turnaround scenarios.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MOU to increase equity in LPW Electronics (Thailand) could expand manufacturing capacity and diversify geographic exposure if completed [1]</w:t>
      </w:r>
    </w:p>
    <w:p>
      <w:pPr>
        <w:spacing w:before="40" w:after="40"/>
        <w:ind w:left="283"/>
      </w:pPr>
      <w:r>
        <w:rPr>
          <w:rFonts w:ascii="Calibri" w:hAnsi="Calibri"/>
          <w:b/>
          <w:color w:val="4A6B25"/>
          <w:sz w:val="20"/>
        </w:rPr>
        <w:t xml:space="preserve">2. </w:t>
      </w:r>
      <w:r>
        <w:rPr>
          <w:rFonts w:ascii="Calibri" w:hAnsi="Calibri"/>
          <w:b w:val="0"/>
          <w:color w:val="3A4A28"/>
          <w:sz w:val="20"/>
        </w:rPr>
        <w:t>Potential stabilization of home appliance and industrial product demand could slow revenue decline from the current -2.9% YoY trajectory [1]</w:t>
      </w:r>
    </w:p>
    <w:p>
      <w:pPr>
        <w:spacing w:before="40" w:after="40"/>
        <w:ind w:left="283"/>
      </w:pPr>
      <w:r>
        <w:rPr>
          <w:rFonts w:ascii="Calibri" w:hAnsi="Calibri"/>
          <w:b/>
          <w:color w:val="4A6B25"/>
          <w:sz w:val="20"/>
        </w:rPr>
        <w:t xml:space="preserve">3. </w:t>
      </w:r>
      <w:r>
        <w:rPr>
          <w:rFonts w:ascii="Calibri" w:hAnsi="Calibri"/>
          <w:b w:val="0"/>
          <w:color w:val="3A4A28"/>
          <w:sz w:val="20"/>
        </w:rPr>
        <w:t>If the company can return to profitability and rebuild liquidity, the stock could re-rate from its current nano-cap valuation — though this is speculative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liquidity risk: $2.7 million market cap and $530,000 daily dollar volume create extreme price volatility and inability to establish or exit positions without significant market impact [4]</w:t>
      </w:r>
    </w:p>
    <w:p>
      <w:pPr>
        <w:spacing w:before="40" w:after="40"/>
        <w:ind w:left="283"/>
      </w:pPr>
      <w:r>
        <w:rPr>
          <w:rFonts w:ascii="Calibri" w:hAnsi="Calibri"/>
          <w:b/>
          <w:color w:val="4A6B25"/>
          <w:sz w:val="20"/>
        </w:rPr>
        <w:t xml:space="preserve">2. </w:t>
      </w:r>
      <w:r>
        <w:rPr>
          <w:rFonts w:ascii="Calibri" w:hAnsi="Calibri"/>
          <w:b w:val="0"/>
          <w:color w:val="3A4A28"/>
          <w:sz w:val="20"/>
        </w:rPr>
        <w:t>Declining revenue (-11.6% 3-year CAGR), deepening losses (-22.0% net margin, losses widening 146.8% YoY), and no path to profitability visible in current operations [1][4]</w:t>
      </w:r>
    </w:p>
    <w:p>
      <w:pPr>
        <w:spacing w:before="40" w:after="40"/>
        <w:ind w:left="283"/>
      </w:pPr>
      <w:r>
        <w:rPr>
          <w:rFonts w:ascii="Calibri" w:hAnsi="Calibri"/>
          <w:b/>
          <w:color w:val="4A6B25"/>
          <w:sz w:val="20"/>
        </w:rPr>
        <w:t xml:space="preserve">3. </w:t>
      </w:r>
      <w:r>
        <w:rPr>
          <w:rFonts w:ascii="Calibri" w:hAnsi="Calibri"/>
          <w:b w:val="0"/>
          <w:color w:val="3A4A28"/>
          <w:sz w:val="20"/>
        </w:rPr>
        <w:t>Commodity manufacturing business with no innovation, technology moat, or competitive differentiation faces existential risk from automation, reshoring trends, and lower-cost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Wire and cable harness manufacturing is a labor-intensive, low-margin business that faces meaningful AI and automation disruption risk [1][2]. Advances in automated wire harness assembly, robotic cable routing, and AI-powered quality inspection could reduce the need for manual labor that forms the core of Linkers' competitive positioning in low-cost Malaysian manufacturing [2]. The company's value proposition is primarily cost-based rather than technology-based, making it vulnerable to competitors who adopt automation faster or to reshoring trends enabled by robotics. Some protection exists from the physical complexity of custom harness configurations and existing OEM qualification processes, but these barriers are moderate rather than structural [1]. AI Opportunity (0/1): No evidence of AI adoption or digital transformation initiatives was identified; the company appears to operate traditional manufacturing processes without meaningful AI or automation integration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Linkers Industries FY2025 Financial Results — WallStreetZen, StockAnalysis.com, MacroTrends,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Linkers Industries Company Profile — StockAnalysis.com, Crunchbase, Yahoo Finance,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Web search for Linkers Industries ESG and governance — no specific results found,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LNKS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