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LNTH</w:t>
      </w:r>
      <w:r>
        <w:rPr>
          <w:rFonts w:ascii="Calibri" w:hAnsi="Calibri"/>
          <w:b/>
          <w:color w:val="1A2010"/>
          <w:sz w:val="40"/>
        </w:rPr>
        <w:t xml:space="preserve">  Lantheus Holdings, Inc.</w:t>
      </w:r>
    </w:p>
    <w:p>
      <w:pPr>
        <w:spacing w:after="120"/>
      </w:pPr>
      <w:r>
        <w:rPr>
          <w:rFonts w:ascii="Calibri" w:hAnsi="Calibri"/>
          <w:b/>
          <w:color w:val="6E8450"/>
          <w:sz w:val="18"/>
        </w:rPr>
        <w:t>GROWTH SLEEVE · 2026-05-06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NASDAQ · United States</w:t>
      </w:r>
    </w:p>
    <w:p>
      <w:pPr>
        <w:spacing w:after="80"/>
      </w:pPr>
      <w:r>
        <w:rPr>
          <w:rFonts w:ascii="Calibri" w:hAnsi="Calibri"/>
          <w:b w:val="0"/>
          <w:color w:val="3A4A28"/>
          <w:sz w:val="20"/>
        </w:rPr>
        <w:t>Lantheus Holdings develops, manufactures, and commercializes diagnostic and therapeutic radiopharmaceutical products for heart, cancer, and neurological diseases worldwide, including PYLARIFY (prostate cancer PET imaging), DEFINITY (echocardiography), and a growing pipeline of theranostic and AI-enabled imaging products.</w:t>
      </w:r>
    </w:p>
    <w:p>
      <w:r>
        <w:rPr>
          <w:rFonts w:ascii="Calibri" w:hAnsi="Calibri"/>
          <w:b/>
          <w:color w:val="6E8450"/>
          <w:sz w:val="18"/>
        </w:rPr>
        <w:t>1,193 Employees · https://www.lantheus.com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Lantheus has established market leadership in radiopharmaceutical diagnostics through PYLARIFY, the first PSMA-targeted PET imaging agent for prostate cancer, and has deployed AI-enabled companion tools including aPROMISE (FDA-cleared AI software on Siemens syngo.via platform) and PYLARIFY AI for standardized quantitative PET/CT assessment [1][4]. The pipeline is deep and differentiated: PNT2002 and PNT2003 move into radiopharmaceutical therapeutics (theranostics), MK-6240 targets Alzheimer's tau imaging, and multiple LNTH-designated compounds expand into novel targets [5]. The Evergreen Theragnostics acquisition enhances manufacturing infrastructure for the therapeutic pipeline [3]. Revenue grew from ~$400M in 2020 to $1.54B in 2025, a ~31% five-year CAGR driven primarily by PYLARIFY adoption.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Lantheus has a meaningful mission in precision medicine diagnostics, enabling clinicians to detect cancer and heart disease earlier. However, Glassdoor reviews are concerning at 2.3/5 stars with only 27% recommending the company, citing a 'win-at-all-costs mindset' where revenue and speed are prioritized over employee mental health [6]. CEO Brian Markison retired effective December 2025 after 13 years, and the company is currently led by interim CEO/Executive Chairperson Mary Anne Heino while searching for a permanent replacement [2]. This leadership vacuum creates uncertainty, and the centralized decision-making culture described by employees — 'no project moves forward without senior leadership approval' — stifles innovation at lower levels.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Lantheus demonstrates strong financial infrastructure with a forward P/E of 13.6x, suggesting significant undervaluation given the pipeline optionality. Debt-to-equity of 57.2% is conservative for a specialty pharma company, ROE of 21.4% exceeds the 15% target, and the five-year revenue CAGR of ~31% is exceptional [5]. The main weakness is current-year deceleration: 2026 revenue guidance of $1.40-1.45B represents a 6-9% decline from 2025's $1.54B, driven by 8-10% PYLARIFY price erosion [1]. Profit margin of 15.2% is healthy but below the 20% target, and DEFINITY's 3.9% growth provides stable but unexciting ballast.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Lantheus shows strong infinite-game signals in its pipeline investments and strategic pivot toward theranostics, but the toxic culture reported on Glassdoor and current CEO vacancy undermine organizational health. The 70-year operating history since 1956 demonstrates institutional durability.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Lantheus' mission to advance precision medicine through innovative radiopharmaceuticals addresses a genuine just cause — enabling earlier and more accurate detection of cancer, heart disease, and neurological conditions saves lives [5]. The expansion into therapeutic radiopharmaceuticals (theranostics) deepens this purpose beyond diagnostics into treatment. The company's ESG commitment is articulated as 'a way of life, not just a strategy.'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2.3/5 rating and 27% recommendation rate are alarming for a company of Lantheus' quality. Employees cite centralized decision-making that creates 'bottlenecks, halts progress, and stifles creativity' alongside a win-at-all-costs culture [6]. The appointment of a new CHRO (Vivian Yao) suggests awareness of cultural challenges, but meaningful improvement requires sustained effort beyond executive appointments.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Lantheus actively engages with competitive dynamics from larger players (Novartis with Pluvicto, Point Biopharma, Siemens Healthineers) and has responded with strategic acquisitions (Evergreen Theragnostics, POINT collaboration) and AI tool development that directly addresses competitive gaps [3][4]. The PYLARIFY price erosion shows the company faces real competitive pressure and is adapting rather than denying it.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evolution from a legacy nuclear medicine company to a leading radiopharmaceutical innovator — and now into AI-enabled theranostics — demonstrates significant adaptability over 70 years [5]. However, the company's heavy dependence on PYLARIFY (facing 8-10% price erosion) and the current leadership vacuum suggest the next pivot requires a permanent CEO to drive execution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Lantheus has shown courage in investing heavily in the theranostics pipeline and AI-enabled diagnostics while its flagship PYLARIFY faces pricing headwinds. The 2026 guidance acknowledging revenue decline demonstrates transparency over optimism [1]. However, the CEO vacancy and interim leadership arrangement raise questions about organizational courage to make the next bold strategic move.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Lantheus offers a compelling combination of current profitability and pipeline optionality at an attractive forward P/E of 13.6x. The company's five-year revenue CAGR of ~31% — driven by PYLARIFY's market-creating success in PSMA PET imaging — demonstrates exceptional execution, and the pivot into theranostics (PNT2002 for mCRPC, PNT2003 for neuroendocrine tumors) opens a multi-billion-dollar therapeutic market beyond diagnostics [1][5]. The AI-enabled product suite (aPROMISE, PYLARIFY AI) positions Lantheus at the intersection of precision medicine's two most powerful trends: radiopharmaceuticals and artificial intelligence [4]. With conservative 57% D/E leverage and $359M cash, the balance sheet supports continued pipeline investment. The Evergreen Theragnostics acquisition secures manufacturing infrastructure critical for therapeutic scale-up [3].</w:t>
      </w:r>
    </w:p>
    <w:p>
      <w:pPr>
        <w:spacing w:after="120"/>
      </w:pPr>
      <w:r>
        <w:rPr>
          <w:rFonts w:ascii="Calibri" w:hAnsi="Calibri"/>
          <w:b w:val="0"/>
          <w:color w:val="3A4A28"/>
          <w:sz w:val="20"/>
        </w:rPr>
        <w:t>The bear case centers on PYLARIFY's pricing vulnerability and leadership uncertainty. Management guided 2026 revenue down 6-9% to $1.40-1.45B, with 8-10% PYLARIFY price erosion driven by increasing competition in the PSMA imaging space [1]. A class action lawsuit alleging Lantheus misled investors about PYLARIFY's competitive position adds legal overhang [7]. The CEO vacancy — with Mary Anne Heino serving as interim CEO during the search — creates strategic uncertainty at a critical inflection point as the company transitions from diagnostics-led to therapeutics-led growth. Glassdoor's 2.3/5 rating and toxic culture reports could impair talent attraction needed for pipeline execution [6]. If the theranostics pipeline disappoints in clinical trials, the stock's current valuation assumes growth that may not materialize.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PNT2002 and PNT2003 clinical trial readouts advancing Lantheus into the multi-billion-dollar theranostics market for prostate cancer and neuroendocrine tumors</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providing strategic clarity and market confidence for the next growth phase</w:t>
      </w:r>
    </w:p>
    <w:p>
      <w:pPr>
        <w:spacing w:before="40" w:after="40"/>
        <w:ind w:left="283"/>
      </w:pPr>
      <w:r>
        <w:rPr>
          <w:rFonts w:ascii="Calibri" w:hAnsi="Calibri"/>
          <w:b/>
          <w:color w:val="4A6B25"/>
          <w:sz w:val="20"/>
        </w:rPr>
        <w:t xml:space="preserve">3. </w:t>
      </w:r>
      <w:r>
        <w:rPr>
          <w:rFonts w:ascii="Calibri" w:hAnsi="Calibri"/>
          <w:b w:val="0"/>
          <w:color w:val="3A4A28"/>
          <w:sz w:val="20"/>
        </w:rPr>
        <w:t>Expanded AI diagnostic tool adoption via Siemens partnership driving PYLARIFY AI and aPROMISE utilization across imaging centers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PYLARIFY price erosion of 8-10% in 2026 from competitive pressure in PSMA PET imaging reducing near-term revenue and margins</w:t>
      </w:r>
    </w:p>
    <w:p>
      <w:pPr>
        <w:spacing w:before="40" w:after="40"/>
        <w:ind w:left="283"/>
      </w:pPr>
      <w:r>
        <w:rPr>
          <w:rFonts w:ascii="Calibri" w:hAnsi="Calibri"/>
          <w:b/>
          <w:color w:val="4A6B25"/>
          <w:sz w:val="20"/>
        </w:rPr>
        <w:t xml:space="preserve">2. </w:t>
      </w:r>
      <w:r>
        <w:rPr>
          <w:rFonts w:ascii="Calibri" w:hAnsi="Calibri"/>
          <w:b w:val="0"/>
          <w:color w:val="3A4A28"/>
          <w:sz w:val="20"/>
        </w:rPr>
        <w:t>CEO vacancy and interim leadership creating strategic uncertainty during critical pipeline transition from diagnostics to therapeutics</w:t>
      </w:r>
    </w:p>
    <w:p>
      <w:pPr>
        <w:spacing w:before="40" w:after="40"/>
        <w:ind w:left="283"/>
      </w:pPr>
      <w:r>
        <w:rPr>
          <w:rFonts w:ascii="Calibri" w:hAnsi="Calibri"/>
          <w:b/>
          <w:color w:val="4A6B25"/>
          <w:sz w:val="20"/>
        </w:rPr>
        <w:t xml:space="preserve">3. </w:t>
      </w:r>
      <w:r>
        <w:rPr>
          <w:rFonts w:ascii="Calibri" w:hAnsi="Calibri"/>
          <w:b w:val="0"/>
          <w:color w:val="3A4A28"/>
          <w:sz w:val="20"/>
        </w:rPr>
        <w:t>Class action lawsuit alleging investor misleading on PYLARIFY competitive position adding legal risk and management distraction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clear enabler for Lantheus rather than a threat. The company has already commercialized AI-powered products: aPROMISE for standardized PSMA PET analysis and PYLARIFY AI for quantitative imaging assessment, both integrated into clinical workflows via Siemens Healthineers' syngo.via platform [4]. The convergence of AI and theranostics positions Lantheus to develop adaptive, patient-specific treatment pathways that combine diagnostic imaging with targeted radiopharmaceutical therapy [4]. Radiopharmaceutical manufacturing and regulatory approval represent significant barriers to entry that AI cannot bypass. The primary competitive AI risk is from larger players (Siemens, GE) building proprietary AI diagnostic tools, but Lantheus' domain expertise in PSMA and radiochemistry provides defensibility.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Lantheus Q4 and Full Year 2025 Earnings Release, GlobeNewsWire,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Lantheus Announces Leadership Transition Plan, Investor Relations, November 2025</w:t>
      </w:r>
    </w:p>
    <w:p>
      <w:pPr>
        <w:spacing w:before="20" w:after="20"/>
        <w:ind w:left="170"/>
      </w:pPr>
      <w:r>
        <w:rPr>
          <w:rFonts w:ascii="Calibri" w:hAnsi="Calibri"/>
          <w:b/>
          <w:color w:val="4A6B25"/>
          <w:sz w:val="15"/>
        </w:rPr>
        <w:t xml:space="preserve">3. </w:t>
      </w:r>
      <w:r>
        <w:rPr>
          <w:rFonts w:ascii="Calibri" w:hAnsi="Calibri"/>
          <w:b w:val="0"/>
          <w:color w:val="3A4A28"/>
          <w:sz w:val="17"/>
        </w:rPr>
        <w:t>Quiver Quantitative — Lantheus Expands Radiopharmaceutical Capabilities with Evergreen Theragnostics Acquisition, 2025</w:t>
      </w:r>
    </w:p>
    <w:p>
      <w:pPr>
        <w:spacing w:before="20" w:after="20"/>
        <w:ind w:left="170"/>
      </w:pPr>
      <w:r>
        <w:rPr>
          <w:rFonts w:ascii="Calibri" w:hAnsi="Calibri"/>
          <w:b/>
          <w:color w:val="4A6B25"/>
          <w:sz w:val="15"/>
        </w:rPr>
        <w:t xml:space="preserve">4. </w:t>
      </w:r>
      <w:r>
        <w:rPr>
          <w:rFonts w:ascii="Calibri" w:hAnsi="Calibri"/>
          <w:b w:val="0"/>
          <w:color w:val="3A4A28"/>
          <w:sz w:val="17"/>
        </w:rPr>
        <w:t>GlobeNewsWire — Lantheus AI-Enabled aPROMISE Now Available on Siemens Healthineers syngo.via Platform, June 2024</w:t>
      </w:r>
    </w:p>
    <w:p>
      <w:pPr>
        <w:spacing w:before="20" w:after="20"/>
        <w:ind w:left="170"/>
      </w:pPr>
      <w:r>
        <w:rPr>
          <w:rFonts w:ascii="Calibri" w:hAnsi="Calibri"/>
          <w:b/>
          <w:color w:val="4A6B25"/>
          <w:sz w:val="15"/>
        </w:rPr>
        <w:t xml:space="preserve">5. </w:t>
      </w:r>
      <w:r>
        <w:rPr>
          <w:rFonts w:ascii="Calibri" w:hAnsi="Calibri"/>
          <w:b w:val="0"/>
          <w:color w:val="3A4A28"/>
          <w:sz w:val="17"/>
        </w:rPr>
        <w:t>Yahoo Finance — LNTH key statistics and company profile, accessed May 2026</w:t>
      </w:r>
    </w:p>
    <w:p>
      <w:pPr>
        <w:spacing w:before="20" w:after="20"/>
        <w:ind w:left="170"/>
      </w:pPr>
      <w:r>
        <w:rPr>
          <w:rFonts w:ascii="Calibri" w:hAnsi="Calibri"/>
          <w:b/>
          <w:color w:val="4A6B25"/>
          <w:sz w:val="15"/>
        </w:rPr>
        <w:t xml:space="preserve">6. </w:t>
      </w:r>
      <w:r>
        <w:rPr>
          <w:rFonts w:ascii="Calibri" w:hAnsi="Calibri"/>
          <w:b w:val="0"/>
          <w:color w:val="3A4A28"/>
          <w:sz w:val="17"/>
        </w:rPr>
        <w:t>Glassdoor — Lantheus Reviews, accessed May 2026</w:t>
      </w:r>
    </w:p>
    <w:p>
      <w:pPr>
        <w:spacing w:before="20" w:after="20"/>
        <w:ind w:left="170"/>
      </w:pPr>
      <w:r>
        <w:rPr>
          <w:rFonts w:ascii="Calibri" w:hAnsi="Calibri"/>
          <w:b/>
          <w:color w:val="4A6B25"/>
          <w:sz w:val="15"/>
        </w:rPr>
        <w:t xml:space="preserve">7. </w:t>
      </w:r>
      <w:r>
        <w:rPr>
          <w:rFonts w:ascii="Calibri" w:hAnsi="Calibri"/>
          <w:b w:val="0"/>
          <w:color w:val="3A4A28"/>
          <w:sz w:val="17"/>
        </w:rPr>
        <w:t>Radiology Business — Lantheus Misled Investors About Blockbuster Imaging Agent, Class Action Lawsuit Claims,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