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LNT</w:t>
      </w:r>
      <w:r>
        <w:rPr>
          <w:rFonts w:ascii="Calibri" w:hAnsi="Calibri"/>
          <w:b/>
          <w:color w:val="1A2010"/>
          <w:sz w:val="40"/>
        </w:rPr>
        <w:t xml:space="preserve">  Alliant Energy Corporation</w:t>
      </w:r>
    </w:p>
    <w:p>
      <w:pPr>
        <w:spacing w:after="120"/>
      </w:pPr>
      <w:r>
        <w:rPr>
          <w:rFonts w:ascii="Calibri" w:hAnsi="Calibri"/>
          <w:b/>
          <w:color w:val="6E8450"/>
          <w:sz w:val="18"/>
        </w:rPr>
        <w:t>DIVIDEND SLEEVE · 2026-04-12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NASDAQ · United States</w:t>
      </w:r>
    </w:p>
    <w:p>
      <w:pPr>
        <w:spacing w:after="80"/>
      </w:pPr>
      <w:r>
        <w:rPr>
          <w:rFonts w:ascii="Calibri" w:hAnsi="Calibri"/>
          <w:b w:val="0"/>
          <w:color w:val="3A4A28"/>
          <w:sz w:val="20"/>
        </w:rPr>
        <w:t>Alliant Energy is a regulated electric and natural gas utility serving approximately 1 million electric and 425,000 natural gas customers in Iowa and Wisconsin through its IPL and WPL subsidiaries. The company is transitioning from coal to renewables and is aggressively contracting data center demand (3 GW signed) to drive load growth.</w:t>
      </w:r>
    </w:p>
    <w:p>
      <w:r>
        <w:rPr>
          <w:rFonts w:ascii="Calibri" w:hAnsi="Calibri"/>
          <w:b/>
          <w:color w:val="6E8450"/>
          <w:sz w:val="18"/>
        </w:rPr>
        <w:t>3,400 Employees · https://www.alliantenergy.com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Alliant has executed a meaningful transition from coal to renewables, retiring 1,100 MW of coal generation and adding 1.2 GW of wind, making it the third largest owner-operator of regulated wind in the US [1][3]. Recent pivot to data center load signed 3 GW of contracted demand, representing 50% of peak load growth by 2030 [1]. AI Deployment (0/2): No evidence of shipping AI products or quantified internal AI savings beyond utility-sector norms. Market Share (1/2): Meaningful regulated utility player in Iowa/Wisconsin footprint but no category leadership; data center pipeline positions LNT as a fast-growing load winner [1]. Pipeline (2/2): Specific $13.4B 4-year capex plan (17% increase) with 3 GW of contracted data centers and 7-8% EPS growth target for 2027-2029 [1]. R&amp;D Intensity (0/1): Utility sector minimal R&amp;D; no evidence of above-peer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Purpose 'to serve customers and build stronger communities' is clear but not distinctive [3]. Community Impact (1/2): Standard utility community investment via the Alliant Energy Foundation and employee volunteer programs, no standout dollar amounts cited. Employee Retention (0/2): Glassdoor rating of 2.4/5 (34% below Energy/Utilities peer average), with 2.3/5 for culture and employee comments citing 'Poor leadership and direction' and 'Upper management completely out of touch' — these are red flags, not retention evidence [2]. Insider Buying (1/2): CEO Lisa Barton (CEO since January 2024) has built equity position but no meaningful net insider buying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LNT is a classic regulated-utility infrastructure profile: D/E around 155% reflects heavy rate-base capex funding, ROE near 11% is below the 15% target but typical of rate-regulated returns. 2025 EPS of $3.22 grew 6% YoY; 2026 guidance of $3.36-$3.46 implies 6.6% growth at midpoint, well within the 10-year 6% CAGR track record [1]. Forward P/E near 18x is reasonable for a utility. Dividend: $1.92 annual at ~3.2% yield, 22+ consecutive years of growth, 5yr div growth CAGR near 6%, payout ratio ~57% — solid but not elite [1][3]. Liquidity easily cleared: ~2.5M avg vol × ~$60 stock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Alliant has a clear multi-decade purpose around reliable energy and community service, reinforced by 45+ years of consecutive dividend payments and a disciplined 6% EPS CAGR through multiple cycles. The strategic pivot to data center demand and coal-to-wind transition show some existential flexibility, but employee culture signals (Glassdoor 2.4/5 vs 3.6 industry avg) undermine the trusting-teams dimension.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Alliant's purpose centers on serving customers with safe, reliable, affordable energy while leading a clean energy transition [3]. The 2050 net-zero commitment, 42% CO2 reduction from 2005 baseline, and $13.4B clean-energy capex plan show the cause is lived out in capital allocation — but it reads as sector-standard rather than transformative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score of 2.4/5 (415 reviews) puts LNT 34% below Energy/Utilities industry average, with culture/values 2.3, career opportunities 2.2, and specific employee feedback citing 'Poor leadership and direction' and 'Upper management is completely out of touch with employees' [2]. This is low-trust territory by Sinek's standard.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Regulated monopoly utility faces limited direct competition; LNT's competitive framing focuses on being a leading renewables operator (third-largest US regulated wind owner) rather than reacting to rivals [1][3]. Limited evidence of learning-oriented competitive discourse.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LNT has executed a real pivot from coal (retired 1,100 MW) to wind (1.2 GW added) and is now expanding into data center load (3 GW contracted, 50% of peak load growth by 2030) — a meaningful but not transformative reshape of the generation mix and customer base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Increasing 4-year capex 17% to $13.4B to fund the data center buildout demonstrates willingness to invest ahead of revenue, and the early coal retirements involved regulatory and community friction [1]. However these moves are supported by rate recovery, so the 'courage' premium is modest.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Alliant Energy is a well-run regulated utility with one of the clearest AI-era tailwinds: 3 GW of contracted data center demand representing 50% of peak load growth by 2030, funded by a $13.4B 4-year capex plan (up 17%) and a 6-8% EPS CAGR trajectory through 2029 [1]. The 2026 EPS guidance of $3.36-$3.46 continues a 10-year record of 6% compound EPS growth, supported by constructive Iowa/Wisconsin regulatory jurisdictions [1]. The dividend is one of the most durable in the sector — 45+ years of consecutive payments, 22+ years of growth, ~6% 5-year CAGR, and ~3.2% yield at a 57% payout ratio [3]. For income investors seeking an AI-levered utility, LNT offers regulated-return visibility on data center load growth.</w:t>
      </w:r>
    </w:p>
    <w:p>
      <w:pPr>
        <w:spacing w:after="120"/>
      </w:pPr>
      <w:r>
        <w:rPr>
          <w:rFonts w:ascii="Calibri" w:hAnsi="Calibri"/>
          <w:b w:val="0"/>
          <w:color w:val="3A4A28"/>
          <w:sz w:val="20"/>
        </w:rPr>
        <w:t>Bear case: As a regulated utility, LNT's ROE (~11%) sits below IOWN's 15% target and growth ceiling is capped by regulatory commissions. D/E of ~155% reflects heavy rate-base financing — rising long-term rates compress equity returns and raise the cost of the $13.4B capex plan [1]. The Glassdoor culture signal is a real concern: 2.4/5 overall rating (34% below industry), 2.3 on culture/values, with employee feedback citing disconnected leadership — poor culture in a regulated-execution business creates operational risk (outages, rate-case friction, attrition) [2]. Data center contracts introduce concentration risk if hyperscaler AI capex cycles slow or if large customers renegotiate; commission-approved cost-recovery mechanisms mitigate but do not eliminate this. Forward P/E of ~18x and PEG of ~2.8x leave little valuation cushion relative to pure growth utilities.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load monetization — 3 GW contracted, representing 50% of peak load growth by 2030, flowing through regulated rate base [1]</w:t>
      </w:r>
    </w:p>
    <w:p>
      <w:pPr>
        <w:spacing w:before="40" w:after="40"/>
        <w:ind w:left="283"/>
      </w:pPr>
      <w:r>
        <w:rPr>
          <w:rFonts w:ascii="Calibri" w:hAnsi="Calibri"/>
          <w:b/>
          <w:color w:val="4A6B25"/>
          <w:sz w:val="20"/>
        </w:rPr>
        <w:t xml:space="preserve">2. </w:t>
      </w:r>
      <w:r>
        <w:rPr>
          <w:rFonts w:ascii="Calibri" w:hAnsi="Calibri"/>
          <w:b w:val="0"/>
          <w:color w:val="3A4A28"/>
          <w:sz w:val="20"/>
        </w:rPr>
        <w:t>2027-2029 EPS growth acceleration to 7-8% (vs. 6% historical) driven by $13.4B capex plan and data center revenue ramp [1]</w:t>
      </w:r>
    </w:p>
    <w:p>
      <w:pPr>
        <w:spacing w:before="40" w:after="40"/>
        <w:ind w:left="283"/>
      </w:pPr>
      <w:r>
        <w:rPr>
          <w:rFonts w:ascii="Calibri" w:hAnsi="Calibri"/>
          <w:b/>
          <w:color w:val="4A6B25"/>
          <w:sz w:val="20"/>
        </w:rPr>
        <w:t xml:space="preserve">3. </w:t>
      </w:r>
      <w:r>
        <w:rPr>
          <w:rFonts w:ascii="Calibri" w:hAnsi="Calibri"/>
          <w:b w:val="0"/>
          <w:color w:val="3A4A28"/>
          <w:sz w:val="20"/>
        </w:rPr>
        <w:t>Iowa and Wisconsin rate case outcomes through 2026-2027 determining ROE and cost recovery on accelerated renewables and transmission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Employee culture weakness — Glassdoor 2.4/5 rating (34% below industry) with leadership disconnect feedback creates operational execution and attrition risk in a rate-regulated business [2]</w:t>
      </w:r>
    </w:p>
    <w:p>
      <w:pPr>
        <w:spacing w:before="40" w:after="40"/>
        <w:ind w:left="283"/>
      </w:pPr>
      <w:r>
        <w:rPr>
          <w:rFonts w:ascii="Calibri" w:hAnsi="Calibri"/>
          <w:b/>
          <w:color w:val="4A6B25"/>
          <w:sz w:val="20"/>
        </w:rPr>
        <w:t xml:space="preserve">2. </w:t>
      </w:r>
      <w:r>
        <w:rPr>
          <w:rFonts w:ascii="Calibri" w:hAnsi="Calibri"/>
          <w:b w:val="0"/>
          <w:color w:val="3A4A28"/>
          <w:sz w:val="20"/>
        </w:rPr>
        <w:t>Interest rate and cost-of-capital pressure on a ~155% D/E balance sheet financing $13.4B of 4-year capex; higher long rates compress equity returns [1]</w:t>
      </w:r>
    </w:p>
    <w:p>
      <w:pPr>
        <w:spacing w:before="40" w:after="40"/>
        <w:ind w:left="283"/>
      </w:pPr>
      <w:r>
        <w:rPr>
          <w:rFonts w:ascii="Calibri" w:hAnsi="Calibri"/>
          <w:b/>
          <w:color w:val="4A6B25"/>
          <w:sz w:val="20"/>
        </w:rPr>
        <w:t xml:space="preserve">3. </w:t>
      </w:r>
      <w:r>
        <w:rPr>
          <w:rFonts w:ascii="Calibri" w:hAnsi="Calibri"/>
          <w:b w:val="0"/>
          <w:color w:val="3A4A28"/>
          <w:sz w:val="20"/>
        </w:rPr>
        <w:t>Data center customer concentration and counterparty risk if hyperscaler AI capex slows or if contracted load fails to materialize on schedule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Alliant Energy IS the infrastructure that AI depends on — electricity delivery. Regulated electric/gas utility cannot be disrupted by AI substitution; instead AI is a tailwind [1]. The company has already contracted 3 GW of data center load representing 50% peak load growth by 2030, directly monetizing the AI data center buildout through regulated rate base expansion [1]. AI Opportunity (0/1): Revenue is from rate-regulated electricity sales, not from selling AI products — the AI tailwind comes through load growth, not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Alliant Energy Q3 2025 Earnings Release and 2026 Guidance — $3.36-$3.46 EPS, 3 GW data center load, $13.4B capex plan, November 6, 2025</w:t>
      </w:r>
    </w:p>
    <w:p>
      <w:pPr>
        <w:spacing w:before="20" w:after="20"/>
        <w:ind w:left="170"/>
      </w:pPr>
      <w:r>
        <w:rPr>
          <w:rFonts w:ascii="Calibri" w:hAnsi="Calibri"/>
          <w:b/>
          <w:color w:val="4A6B25"/>
          <w:sz w:val="15"/>
        </w:rPr>
        <w:t xml:space="preserve">2. </w:t>
      </w:r>
      <w:r>
        <w:rPr>
          <w:rFonts w:ascii="Calibri" w:hAnsi="Calibri"/>
          <w:b w:val="0"/>
          <w:color w:val="3A4A28"/>
          <w:sz w:val="17"/>
        </w:rPr>
        <w:t>Glassdoor — Alliant Energy employee reviews, 2.4/5 overall, 415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Alliant Energy Corporate Responsibility Report — emissions reductions, wind generation, governance, 2023-2024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LNT (Alliant Energy), referenced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