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LODE</w:t>
      </w:r>
      <w:r>
        <w:rPr>
          <w:rFonts w:ascii="Calibri" w:hAnsi="Calibri"/>
          <w:b/>
          <w:color w:val="1A2010"/>
          <w:sz w:val="40"/>
        </w:rPr>
        <w:t xml:space="preserve">  Comstock Inc.</w:t>
      </w:r>
    </w:p>
    <w:p>
      <w:pPr>
        <w:spacing w:after="120"/>
      </w:pPr>
      <w:r>
        <w:rPr>
          <w:rFonts w:ascii="Calibri" w:hAnsi="Calibri"/>
          <w:b/>
          <w:color w:val="6E8450"/>
          <w:sz w:val="18"/>
        </w:rPr>
        <w:t>GROWTH SLEEVE · 2026-04-20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American · United States</w:t>
      </w:r>
    </w:p>
    <w:p>
      <w:pPr>
        <w:spacing w:after="80"/>
      </w:pPr>
      <w:r>
        <w:rPr>
          <w:rFonts w:ascii="Calibri" w:hAnsi="Calibri"/>
          <w:b w:val="0"/>
          <w:color w:val="3A4A28"/>
          <w:sz w:val="20"/>
        </w:rPr>
        <w:t>Comstock Inc. is a systemic decarbonization company operating through Fuels, Metals, Mining, Strategic Investments, and Corporate Services segments. The company develops technology to extract and convert lignocellulosic biomass into renewable fuels, operates solar panel recycling facilities, and holds mining rights in Nevada.</w:t>
      </w:r>
    </w:p>
    <w:p>
      <w:r>
        <w:rPr>
          <w:rFonts w:ascii="Calibri" w:hAnsi="Calibri"/>
          <w:b/>
          <w:color w:val="6E8450"/>
          <w:sz w:val="18"/>
        </w:rPr>
        <w:t>45 Employees · https://www.comstock.inc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Comstock has executed a meaningful business model transformation over the past 5 years, pivoting from legacy mining operations to a clean technology and recycling platform—solar panel recycling, Bioleum renewable fuels, and critical metals recovery represent genuinely new revenue streams [1]. The acquisition of GenMat for physics-based AI materials discovery demonstrates forward-looking R&amp;D investment [2]. However, commercial traction remains nascent—total 2025 revenues of $1.4M are trivial, and the solar recycling facility is still scaling from 5,000 to 100,000 tons annually [1]. Market share leadership is absent; the company is a small participant in emerging recycling markets. R&amp;D intensity is high relative to revenue but absolute spending is modest given the 45-person headcount.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Comstock's mission centers on 'commercial decarbonization solutions,' positioning the company as an environmental steward—a genuine purpose beyond profit that aligns with secular sustainability trends [3]. CEO Corrado De Gasperis has provided 15+ years of stable leadership, bringing deep industrial manufacturing and governance experience [2]. Glassdoor reviews (3.9/5, 83% recommend) indicate a reasonably positive culture with strong compensation (4.1/5) and career opportunities (4.0/5) [2]. The R2v3/RIOS responsible recycling certification—the first for a solar panel recycler in North America—validates the company's commitment to its environmental mission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Financial infrastructure is severely stressed. Revenue tripled to $1.4M in 2025 but remains negligible, with net losses exceeding $13M and EPS of -$1.17 trailing [1][4]. ROE is deeply negative at -50.6%, profit margin is 0%, and revenue declined 76.6% YoY on a quarterly basis [4]. The $34.5M equity raise provides near-term runway but dilutes existing shareholders [1]. Forward P/E of 5.2 suggests analyst expectations of profitability by Q2 2026, but this is speculative. D/E of 16.9% is low. Liquidity floor: $3.13 x 1,825,318 = $5.71M &gt; $1M, clearing the threshold. The company targets operational profitability by Q2 2026 but has no track record of achieving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Comstock's green pivot from legacy mining to decarbonization represents genuine long-term thinking, backed by 15 years of CEO continuity. However, the company remains pre-profitability with unproven commercial scale, and the ambitious expansion plans carry significant execution risk.</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decarbonization mission—converting waste into renewable fuels and recycling solar panels to recover critical metals—represents a compelling just cause that addresses real environmental challenges [3]. The pivot from extractive mining to sustainable recycling shows the company is willing to sacrifice short-term certainty for long-term purpose. First-in-class R2v3/RIOS certification validates this commitment as more than greenwashing.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(3.9/5) show generally positive employee sentiment with 83% recommending the company and solid culture scores (3.9/5) [2]. However, feedback notes that some supervisors 'do not value independent thinking,' suggesting pockets of top-down management. The 45-person team is small enough for direct leadership influence, which can cut both ways.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Comstock operates in emerging markets (solar recycling, renewable fuels) where competitive dynamics are still forming. The company's signing of Master Service Agreements with major utility and electronic recycling aggregators shows awareness of the competitive landscape [1]. The GenMat AI investment reflects learning from tech-forward competitors. However, larger players with more capital could enter these markets as they mature.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a traditional Nevada mining company to a multi-segment decarbonization platform is one of the more dramatic strategic pivots among micro-cap companies. Comstock has expanded from mining into fuels (Bioleum), metals recycling (solar panels), and AI-driven materials science (GenMat) [1][2]. This demonstrates genuine willingness to reinvent the company's identity in pursuit of a larger mission.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De Gasperis deserves credit for steering a legacy mining company toward decarbonization—a contrarian bet that required convincing skeptical shareholders. The oversubscribed $34.5M equity raise with 30+ new institutional investors suggests growing buy-in [1]. However, the company has not yet proven it can convert vision into sustainable profitability, and courage without results is just optimism.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Comstock represents a speculative bet on the intersection of solar panel recycling, renewable fuels, and AI-driven materials discovery. The company's decarbonization pivot is strategically sound—solar panel waste is a massive and growing problem, and first-mover advantage in responsible recycling could create durable competitive positioning.</w:t>
      </w:r>
    </w:p>
    <w:p>
      <w:pPr>
        <w:spacing w:after="120"/>
      </w:pPr>
      <w:r>
        <w:rPr>
          <w:rFonts w:ascii="Calibri" w:hAnsi="Calibri"/>
          <w:b w:val="0"/>
          <w:color w:val="3A4A28"/>
          <w:sz w:val="20"/>
        </w:rPr>
        <w:t>However, the investment case rests almost entirely on future execution. With only $1.4M in 2025 revenue, &gt;$13M in annual losses, and aggressive scaling plans (5,000 to 100,000 tons of recycling capacity), the gap between vision and reality is wide. The $34.5M raise provides runway, but profitability targets for Q2 2026 are aspirational. Suitable only for highly risk-tolerant investors who believe in the decarbonization thesis and can tolerate multi-year holding periods.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Solar panel recycling facility commissioning in Q1 2026, with scaling to 100,000 tons annually and operational profitability targeted by Q2 2026</w:t>
      </w:r>
    </w:p>
    <w:p>
      <w:pPr>
        <w:spacing w:before="40" w:after="40"/>
        <w:ind w:left="283"/>
      </w:pPr>
      <w:r>
        <w:rPr>
          <w:rFonts w:ascii="Calibri" w:hAnsi="Calibri"/>
          <w:b/>
          <w:color w:val="4A6B25"/>
          <w:sz w:val="20"/>
        </w:rPr>
        <w:t xml:space="preserve">2. </w:t>
      </w:r>
      <w:r>
        <w:rPr>
          <w:rFonts w:ascii="Calibri" w:hAnsi="Calibri"/>
          <w:b w:val="0"/>
          <w:color w:val="3A4A28"/>
          <w:sz w:val="20"/>
        </w:rPr>
        <w:t>Master Service Agreements with major utility and recycling aggregators could accelerate revenue ramp in southwest U.S. markets</w:t>
      </w:r>
    </w:p>
    <w:p>
      <w:pPr>
        <w:spacing w:before="40" w:after="40"/>
        <w:ind w:left="283"/>
      </w:pPr>
      <w:r>
        <w:rPr>
          <w:rFonts w:ascii="Calibri" w:hAnsi="Calibri"/>
          <w:b/>
          <w:color w:val="4A6B25"/>
          <w:sz w:val="20"/>
        </w:rPr>
        <w:t xml:space="preserve">3. </w:t>
      </w:r>
      <w:r>
        <w:rPr>
          <w:rFonts w:ascii="Calibri" w:hAnsi="Calibri"/>
          <w:b w:val="0"/>
          <w:color w:val="3A4A28"/>
          <w:sz w:val="20"/>
        </w:rPr>
        <w:t>GenMat physics-based AI platform for materials discovery could unlock high-value IP and licensing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remains negligible at $1.4M with &gt;$13M annual losses—failure to achieve profitability by Q2 2026 would further erode credibility and require additional dilutive capital raises</w:t>
      </w:r>
    </w:p>
    <w:p>
      <w:pPr>
        <w:spacing w:before="40" w:after="40"/>
        <w:ind w:left="283"/>
      </w:pPr>
      <w:r>
        <w:rPr>
          <w:rFonts w:ascii="Calibri" w:hAnsi="Calibri"/>
          <w:b/>
          <w:color w:val="4A6B25"/>
          <w:sz w:val="20"/>
        </w:rPr>
        <w:t xml:space="preserve">2. </w:t>
      </w:r>
      <w:r>
        <w:rPr>
          <w:rFonts w:ascii="Calibri" w:hAnsi="Calibri"/>
          <w:b w:val="0"/>
          <w:color w:val="3A4A28"/>
          <w:sz w:val="20"/>
        </w:rPr>
        <w:t>Solar panel recycling economics are unproven at scale—processing costs, metal recovery yields, and end-market pricing all carry significant uncertainty</w:t>
      </w:r>
    </w:p>
    <w:p>
      <w:pPr>
        <w:spacing w:before="40" w:after="40"/>
        <w:ind w:left="283"/>
      </w:pPr>
      <w:r>
        <w:rPr>
          <w:rFonts w:ascii="Calibri" w:hAnsi="Calibri"/>
          <w:b/>
          <w:color w:val="4A6B25"/>
          <w:sz w:val="20"/>
        </w:rPr>
        <w:t xml:space="preserve">3. </w:t>
      </w:r>
      <w:r>
        <w:rPr>
          <w:rFonts w:ascii="Calibri" w:hAnsi="Calibri"/>
          <w:b w:val="0"/>
          <w:color w:val="3A4A28"/>
          <w:sz w:val="20"/>
        </w:rPr>
        <w:t>45-employee company attempting multi-segment growth across fuels, metals, mining, and AI is stretched thin operationally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more enabler than threat for Comstock's physical recycling and materials processing operations—solar panel dismantling, metals recovery, and biomass conversion are inherently physical processes not susceptible to digital disruption [3]. The GenMat acquisition positions the company to use physics-based AI for accelerated materials discovery, and CEO De Gasperis has stated that 'anyone not integrating AI into their core competencies will likely be disrupted or replaced' [2]. This proactive AI posture is notable for a 45-person company. The primary AI opportunity is in optimizing recycling yields and discovering new material recovery pathways through GenMat's platform.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Comstock Full Year 2025 Achievements and Results, Nasdaq Press Release, March 2026</w:t>
      </w:r>
    </w:p>
    <w:p>
      <w:pPr>
        <w:spacing w:before="20" w:after="20"/>
        <w:ind w:left="170"/>
      </w:pPr>
      <w:r>
        <w:rPr>
          <w:rFonts w:ascii="Calibri" w:hAnsi="Calibri"/>
          <w:b/>
          <w:color w:val="4A6B25"/>
          <w:sz w:val="15"/>
        </w:rPr>
        <w:t xml:space="preserve">2. </w:t>
      </w:r>
      <w:r>
        <w:rPr>
          <w:rFonts w:ascii="Calibri" w:hAnsi="Calibri"/>
          <w:b w:val="0"/>
          <w:color w:val="3A4A28"/>
          <w:sz w:val="17"/>
        </w:rPr>
        <w:t>Comstock Inc. Leadership, GenMat AI Acquisition, and Glassdoor Reviews,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Comstock ESG Initiatives, R2v3/RIOS Certification, and Sustainability Reporting,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LODE key statistics,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