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LOGI</w:t>
      </w:r>
      <w:r>
        <w:rPr>
          <w:rFonts w:ascii="Calibri" w:hAnsi="Calibri"/>
          <w:b/>
          <w:color w:val="1A2010"/>
          <w:sz w:val="40"/>
        </w:rPr>
        <w:t xml:space="preserve">  Logitech International S.A.</w:t>
      </w:r>
    </w:p>
    <w:p>
      <w:pPr>
        <w:spacing w:after="120"/>
      </w:pPr>
      <w:r>
        <w:rPr>
          <w:rFonts w:ascii="Calibri" w:hAnsi="Calibri"/>
          <w:b/>
          <w:color w:val="6E8450"/>
          <w:sz w:val="18"/>
        </w:rPr>
        <w:t>GROWTH SLEEVE · 2026-05-01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Switzerland</w:t>
      </w:r>
    </w:p>
    <w:p>
      <w:pPr>
        <w:spacing w:after="80"/>
      </w:pPr>
      <w:r>
        <w:rPr>
          <w:rFonts w:ascii="Calibri" w:hAnsi="Calibri"/>
          <w:b w:val="0"/>
          <w:color w:val="3A4A28"/>
          <w:sz w:val="20"/>
        </w:rPr>
        <w:t>Logitech International S.A. designs, manufactures, and markets software-enabled hardware solutions for personal workspace, video collaboration, gaming, and streaming. Products include mice, keyboards, webcams, headsets, video conferencing systems, and gaming peripherals sold globally under the Logitech and Logitech G brands.</w:t>
      </w:r>
    </w:p>
    <w:p>
      <w:r>
        <w:rPr>
          <w:rFonts w:ascii="Calibri" w:hAnsi="Calibri"/>
          <w:b/>
          <w:color w:val="6E8450"/>
          <w:sz w:val="18"/>
        </w:rPr>
        <w:t>7,300 Employees · https://www.logitech.com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Logitech has successfully expanded from traditional PC peripherals into video collaboration (Rally Board 65, Rally AI Camera, Rally AI Pro) and gaming (Logitech G), transforming from a mouse-and-keyboard company into a broad digital workspace platform [1]. CEO Faber acknowledged and corrected the multi-brand strategy mistake, refocusing 100% on the Logitech brand — a pivot that required organizational courage [4]. AI Deployment (2/2): Logitech is shipping AI-powered products to customers — the Rally AI Camera, Rally AI Pro, Sight video conferencing camera, and Zone Wireless 2 headsets incorporate AI for speaker tracking, framing, and noise cancellation, while the Spot sensor uses AI for room occupancy analytics [1]. These are revenue-generating products, not experiments. Market Share Leadership (1/2): Logitech gained 120 basis points of share in personal workspace peripherals in Q3 FY2026, maintaining a meaningful global position, though it faces competition from Microsoft, HP, and Apple in key categories [1]. Product Pipeline (1/2): Rally AI Camera and Rally AI Pro for large room video conferencing were announced recently, providing near-term product visibility, though specific revenue targets are not disclosed [1]. R&amp;D Intensity (1/1): Logitech invests above industry average in R&amp;D for a hardware company, with a design-driven innovation culture that former CEO Bracken Darrell credited with saving the company from commoditization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Logitech's purpose — 'helping all people pursue their passions by designing experiences so everyone can create, achieve, and enjoy more' — is specific, thoughtful, and connects the company's products to human potential and creativity [5]. The mission differentiates from generic tech company platitudes by focusing on enabling personal expression and achievement. It has been consistently articulated across leadership transitions. Community Impact (1/2): Logitech has been included in the Dow Jones Sustainability Index for Europe for five consecutive years, with 84% of products carbon-labeled and nearly 80% using recycled plastics. They co-founded the Coalition for Gender Fair Procurement [6]. Specific charitable dollar amounts are not prominently disclosed, but sustainability commitment is genuine and measurable. Employee Retention (1/2): 80% of Logitech employees would recommend working there per Glassdoor (3.9/5 culture rating), with employees citing innovative products and approachable leadership as positives [4]. Some reviews note concerns about top-down AI push and internal politics, but overall retention appears above average. Insider Buying (1/2): CEO Hanneke Faber joined in December 2023 from Unilever and holds equity alignment, though no major net insider purchases were identified beyond initial compensation awards.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strong with a fortress balance sheet and reasonable valuation. D/E of 3.9% is essentially debt-free with $1.82B cash against $92M debt — a 20:1 cash-to-debt ratio [7]. ROE of 32.1% far exceeds the 15% target, reflecting efficient capital deployment. Forward P/E of 17.2 is below the 20 target, and Forward PEG of 1.35 indicates reasonable growth-adjusted valuation [7]. Revenue of $4.77B grew 6.1% YoY with Q3 FY2026 the best quarterly profit since the pandemic, driven by 28% earnings growth [1]. The primary drags are tepid 5yr revenue CAGR (~3%) reflecting post-COVID demand normalization from the $5.48B FY2022 peak, and 14.9% profit margins below the 20% target for a hardware business facing commoditization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Logitech demonstrates strong infinite game characteristics through its 40+ year history of continuous reinvention — from mice to webcams to gaming to video collaboration to AI-powered devices. The company has survived multiple technology transitions and leadership changes while maintaining a consistent design-driven innovation culture. CEO Faber's decision to abandon the multi-brand strategy and refocus on Logitech shows willingness to sacrifice short-term marketing investment for long-term brand clarity.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Logitech's purpose of helping people pursue passions through designed experiences is genuine and has been consistently lived out through 40+ years of product innovation [5]. The cause has survived multiple leadership transitions (from Bracken Darrell to Hanneke Faber) and technology shifts, suggesting it is embedded in the company culture rather than tied to any single leader. Strategic decisions — like the recent pivot from multi-brand back to unified Logitech brand — are driven by this enabling purpose rather than pure financial optimization.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80% Glassdoor recommendation rate and 3.9/5 culture rating indicate an above-average workplace [4]. Employees cite innovative products, nice colleagues, and approachable leadership as strengths. However, some reviews express concern about a heavy top-down push for AI adoption focused on cost-cutting rather than improving outcomes, and internal political positioning among senior leadership — issues that undermine the psychological safety Sinek requires for full marks.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Logitech competes with Microsoft, HP, Apple, and specialized gaming brands, and management's language focuses on gaining share through product innovation (120bps PWS share gain in Q3) rather than competitor destruction [1]. CEO Faber's commentary emphasizes improving the Logitech experience rather than attacking rivals, and the company's SWOT positioning acknowledges competitive pressures as motivation for continued innovation.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Logitech has fundamentally reinvented itself multiple times over 40+ years: from early computer mice (1981) to a broad peripherals company to webcams/video collaboration during COVID to its current AI-powered device platform [1][3]. Each transition required abandoning previous category dependencies. The pivot from commodity peripherals to design-driven premium products under Bracken Darrell, and the current shift to AI-enabled workplace solutions under Faber, represent transformative strategic flexibility driven by the company's enabling purpose.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Multiple examples of courageous leadership. CEO Faber acknowledged the multi-brand strategy was a mistake and reversed course, consolidating 100% on the Logitech brand — killing sub-brands that had received significant marketing investment [4]. Former CEO Bracken Darrell invested heavily in design during a period when Logitech was losing to commodity peripherals, transforming the company's identity and saving it from slow decline [3]. The company committed to carbon labeling 100% of products and using recycled materials — costly sustainability investments that could have been avoided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Logitech is executing a successful transition from commodity peripherals to AI-enabled workplace technology, with Q3 FY2026 delivering its best quarterly profit since the pandemic — $1.42B revenue (+6% YoY), $286M GAAP operating income (+22%), and $1.69 EPS (+28%) [1]. The company is shipping genuine AI products (Rally AI Camera, Rally AI Pro, Sight sensor) while gaining share in personal workspace (+120bps), and the B2B video collaboration segment is significantly outpacing consumer demand [1]. A fortress balance sheet ($1.82B cash, 3.9% D/E) and 32% ROE provide financial durability, while 17.2x forward P/E at 1.35 PEG offers reasonable valuation for a company with accelerating earnings growth.</w:t>
      </w:r>
    </w:p>
    <w:p>
      <w:pPr>
        <w:spacing w:after="120"/>
      </w:pPr>
      <w:r>
        <w:rPr>
          <w:rFonts w:ascii="Calibri" w:hAnsi="Calibri"/>
          <w:b w:val="0"/>
          <w:color w:val="3A4A28"/>
          <w:sz w:val="20"/>
        </w:rPr>
        <w:t>The bear case centers on secular disruption risk and growth limitations. AI-powered voice interfaces and ambient computing could structurally reduce demand for Logitech's core mice and keyboard categories over the next 3-5 years, and software-based AI meeting solutions threaten hardware-dependent video conferencing revenue. Revenue of $4.77B remains 13% below the $5.48B FY2022 pandemic peak, and the 3% five-year CAGR suggests the business has been treading water rather than growing through the post-COVID normalization [7]. Profit margins of 14.9% are thin for a hardware company competing against vertically integrated rivals like Apple and Microsoft. The Inspire Impact Score of -49 (MISALIGNED) due to abortion activism involvement may concern faith-aligned investors [8]. Tariff and trade policy exposure is real for a Swiss company manufacturing primarily in China and Southeast Asia.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video collaboration products (Rally AI Camera, Rally AI Pro, Spot sensor) expanding Logitech's addressable market in enterprise meeting rooms, classrooms, and hybrid work environments</w:t>
      </w:r>
    </w:p>
    <w:p>
      <w:pPr>
        <w:spacing w:before="40" w:after="40"/>
        <w:ind w:left="283"/>
      </w:pPr>
      <w:r>
        <w:rPr>
          <w:rFonts w:ascii="Calibri" w:hAnsi="Calibri"/>
          <w:b/>
          <w:color w:val="4A6B25"/>
          <w:sz w:val="20"/>
        </w:rPr>
        <w:t xml:space="preserve">2. </w:t>
      </w:r>
      <w:r>
        <w:rPr>
          <w:rFonts w:ascii="Calibri" w:hAnsi="Calibri"/>
          <w:b w:val="0"/>
          <w:color w:val="3A4A28"/>
          <w:sz w:val="20"/>
        </w:rPr>
        <w:t>B2B demand significantly outpacing consumer — Logitech for Business grew driven by video collaboration and education vertical strength, representing a structural mix shift toward higher-margin enterprise revenue</w:t>
      </w:r>
    </w:p>
    <w:p>
      <w:pPr>
        <w:spacing w:before="40" w:after="40"/>
        <w:ind w:left="283"/>
      </w:pPr>
      <w:r>
        <w:rPr>
          <w:rFonts w:ascii="Calibri" w:hAnsi="Calibri"/>
          <w:b/>
          <w:color w:val="4A6B25"/>
          <w:sz w:val="20"/>
        </w:rPr>
        <w:t xml:space="preserve">3. </w:t>
      </w:r>
      <w:r>
        <w:rPr>
          <w:rFonts w:ascii="Calibri" w:hAnsi="Calibri"/>
          <w:b w:val="0"/>
          <w:color w:val="3A4A28"/>
          <w:sz w:val="20"/>
        </w:rPr>
        <w:t>Share gains of 120bps in personal workspace peripherals in Q3 FY2026, demonstrating competitive differentiation through design and AI features even in a mature hardware category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voice interfaces and ambient computing could structurally reduce demand for traditional mice, keyboards, and webcams — Logitech's largest revenue categories face long-term secular disruption from conversational AI paradigms</w:t>
      </w:r>
    </w:p>
    <w:p>
      <w:pPr>
        <w:spacing w:before="40" w:after="40"/>
        <w:ind w:left="283"/>
      </w:pPr>
      <w:r>
        <w:rPr>
          <w:rFonts w:ascii="Calibri" w:hAnsi="Calibri"/>
          <w:b/>
          <w:color w:val="4A6B25"/>
          <w:sz w:val="20"/>
        </w:rPr>
        <w:t xml:space="preserve">2. </w:t>
      </w:r>
      <w:r>
        <w:rPr>
          <w:rFonts w:ascii="Calibri" w:hAnsi="Calibri"/>
          <w:b w:val="0"/>
          <w:color w:val="3A4A28"/>
          <w:sz w:val="20"/>
        </w:rPr>
        <w:t>Revenue remains 13% below the $5.48B FY2022 pandemic peak with only 3% five-year CAGR, suggesting the business has not found a durable growth engine beyond the COVID-era demand surge</w:t>
      </w:r>
    </w:p>
    <w:p>
      <w:pPr>
        <w:spacing w:before="40" w:after="40"/>
        <w:ind w:left="283"/>
      </w:pPr>
      <w:r>
        <w:rPr>
          <w:rFonts w:ascii="Calibri" w:hAnsi="Calibri"/>
          <w:b/>
          <w:color w:val="4A6B25"/>
          <w:sz w:val="20"/>
        </w:rPr>
        <w:t xml:space="preserve">3. </w:t>
      </w:r>
      <w:r>
        <w:rPr>
          <w:rFonts w:ascii="Calibri" w:hAnsi="Calibri"/>
          <w:b w:val="0"/>
          <w:color w:val="3A4A28"/>
          <w:sz w:val="20"/>
        </w:rPr>
        <w:t>Hardware commoditization pressure from vertically integrated competitors (Apple, Microsoft, HP) with deeper ecosystems and 14.9% profit margins leave limited buffer for price competition or tariff impacts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Logitech's core peripherals business faces meaningful AI disruption exposure. AI-powered voice interfaces and ambient computing could reduce demand for traditional keyboards and mice as human-computer interaction shifts from physical input devices to conversational AI [1]. Video conferencing hardware faces pressure as AI-powered software solutions (Zoom AI Companion, Microsoft Copilot) automate meeting features that previously required dedicated hardware. The personal workspace category is vulnerable to the broader shift toward AI-native computing paradigms. However, Logitech's gaming peripherals and B2B video collaboration hardware have stronger defensive moats — gamers still need physical input devices, and enterprise conference rooms require hardware infrastructure [1]. AI Opportunity (1/1): Logitech is generating meaningful AI revenue through shipping AI-powered products — Rally AI Camera, Rally AI Pro, Sight sensor, and Zone Wireless 2 headsets with AI features are revenue-generating products in market today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Logitech Q3 FY2026 Earnings Release — $1.42B revenue, $1.69 EPS, Rally AI product launches, January 2026</w:t>
      </w:r>
    </w:p>
    <w:p>
      <w:pPr>
        <w:spacing w:before="20" w:after="20"/>
        <w:ind w:left="170"/>
      </w:pPr>
      <w:r>
        <w:rPr>
          <w:rFonts w:ascii="Calibri" w:hAnsi="Calibri"/>
          <w:b/>
          <w:color w:val="4A6B25"/>
          <w:sz w:val="15"/>
        </w:rPr>
        <w:t xml:space="preserve">2. </w:t>
      </w:r>
      <w:r>
        <w:rPr>
          <w:rFonts w:ascii="Calibri" w:hAnsi="Calibri"/>
          <w:b w:val="0"/>
          <w:color w:val="3A4A28"/>
          <w:sz w:val="17"/>
        </w:rPr>
        <w:t>Logitech Q1 FY2026 Earnings Release — $1.12B revenue, operational overview, July 2025</w:t>
      </w:r>
    </w:p>
    <w:p>
      <w:pPr>
        <w:spacing w:before="20" w:after="20"/>
        <w:ind w:left="170"/>
      </w:pPr>
      <w:r>
        <w:rPr>
          <w:rFonts w:ascii="Calibri" w:hAnsi="Calibri"/>
          <w:b/>
          <w:color w:val="4A6B25"/>
          <w:sz w:val="15"/>
        </w:rPr>
        <w:t xml:space="preserve">3. </w:t>
      </w:r>
      <w:r>
        <w:rPr>
          <w:rFonts w:ascii="Calibri" w:hAnsi="Calibri"/>
          <w:b w:val="0"/>
          <w:color w:val="3A4A28"/>
          <w:sz w:val="17"/>
        </w:rPr>
        <w:t>Fortune — 'Design thinking: How a design-focused CEO saved Logitech from a slow death', February 2022</w:t>
      </w:r>
    </w:p>
    <w:p>
      <w:pPr>
        <w:spacing w:before="20" w:after="20"/>
        <w:ind w:left="170"/>
      </w:pPr>
      <w:r>
        <w:rPr>
          <w:rFonts w:ascii="Calibri" w:hAnsi="Calibri"/>
          <w:b/>
          <w:color w:val="4A6B25"/>
          <w:sz w:val="15"/>
        </w:rPr>
        <w:t xml:space="preserve">4. </w:t>
      </w:r>
      <w:r>
        <w:rPr>
          <w:rFonts w:ascii="Calibri" w:hAnsi="Calibri"/>
          <w:b w:val="0"/>
          <w:color w:val="3A4A28"/>
          <w:sz w:val="17"/>
        </w:rPr>
        <w:t>Glassdoor — Logitech employee reviews (1,020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Logitech corporate website — Company Purpose and Leadership, accessed May 2026</w:t>
      </w:r>
    </w:p>
    <w:p>
      <w:pPr>
        <w:spacing w:before="20" w:after="20"/>
        <w:ind w:left="170"/>
      </w:pPr>
      <w:r>
        <w:rPr>
          <w:rFonts w:ascii="Calibri" w:hAnsi="Calibri"/>
          <w:b/>
          <w:color w:val="4A6B25"/>
          <w:sz w:val="15"/>
        </w:rPr>
        <w:t xml:space="preserve">6. </w:t>
      </w:r>
      <w:r>
        <w:rPr>
          <w:rFonts w:ascii="Calibri" w:hAnsi="Calibri"/>
          <w:b w:val="0"/>
          <w:color w:val="3A4A28"/>
          <w:sz w:val="17"/>
        </w:rPr>
        <w:t>Logitech Sustainability Report — Carbon labeling, recycled materials, DJSI inclusion, 2025</w:t>
      </w:r>
    </w:p>
    <w:p>
      <w:pPr>
        <w:spacing w:before="20" w:after="20"/>
        <w:ind w:left="170"/>
      </w:pPr>
      <w:r>
        <w:rPr>
          <w:rFonts w:ascii="Calibri" w:hAnsi="Calibri"/>
          <w:b/>
          <w:color w:val="4A6B25"/>
          <w:sz w:val="15"/>
        </w:rPr>
        <w:t xml:space="preserve">7. </w:t>
      </w:r>
      <w:r>
        <w:rPr>
          <w:rFonts w:ascii="Calibri" w:hAnsi="Calibri"/>
          <w:b w:val="0"/>
          <w:color w:val="3A4A28"/>
          <w:sz w:val="17"/>
        </w:rPr>
        <w:t>Yahoo Finance — LOGI key statistics, accessed May 2026</w:t>
      </w:r>
    </w:p>
    <w:p>
      <w:pPr>
        <w:spacing w:before="20" w:after="20"/>
        <w:ind w:left="170"/>
      </w:pPr>
      <w:r>
        <w:rPr>
          <w:rFonts w:ascii="Calibri" w:hAnsi="Calibri"/>
          <w:b/>
          <w:color w:val="4A6B25"/>
          <w:sz w:val="15"/>
        </w:rPr>
        <w:t xml:space="preserve">8. </w:t>
      </w:r>
      <w:r>
        <w:rPr>
          <w:rFonts w:ascii="Calibri" w:hAnsi="Calibri"/>
          <w:b w:val="0"/>
          <w:color w:val="3A4A28"/>
          <w:sz w:val="17"/>
        </w:rPr>
        <w:t>Inspire Insight — LOGI faith alignment score, from data/inspire_insight_scores.csv</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