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LPLA</w:t>
      </w:r>
      <w:r>
        <w:rPr>
          <w:rFonts w:ascii="Calibri" w:hAnsi="Calibri"/>
          <w:b/>
          <w:color w:val="1A2010"/>
          <w:sz w:val="40"/>
        </w:rPr>
        <w:t xml:space="preserve">  LPL Financial Holdings Inc.</w:t>
      </w:r>
    </w:p>
    <w:p>
      <w:pPr>
        <w:spacing w:after="120"/>
      </w:pPr>
      <w:r>
        <w:rPr>
          <w:rFonts w:ascii="Calibri" w:hAnsi="Calibri"/>
          <w:b/>
          <w:color w:val="6E8450"/>
          <w:sz w:val="18"/>
        </w:rPr>
        <w:t>GROWTH SLEEVE · 2026-05-06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LPL Financial Holdings provides an integrated platform of brokerage and investment advisory services to independent financial advisors and financial advisors at institutions in the United States, supporting over 30,000 advisors with $2.3 trillion in advisory and brokerage assets.</w:t>
      </w:r>
    </w:p>
    <w:p>
      <w:r>
        <w:rPr>
          <w:rFonts w:ascii="Calibri" w:hAnsi="Calibri"/>
          <w:b/>
          <w:color w:val="6E8450"/>
          <w:sz w:val="18"/>
        </w:rPr>
        <w:t>8,700 Employees · https://www.lpl.com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LPL has built the largest independent broker-dealer platform in the U.S. with $2.34T in advisory and brokerage assets, growing advisory assets 42% YoY to $1.39T [1]. The firm deployed AI-powered tools for advisor productivity and portfolio management, though CEO Steinmeier cautioned that AI use cases must demonstrably 'work' for 30,000+ advisors before broad rollout [3]. The Atria Wealth Solutions acquisition significantly expanded scale, and the organic net new asset growth of $21B (4% annualized) validates the platform's competitive pull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LPL's mission to empower independent financial advisors resonates within the wealth management community, drawing over 6,000 attendees to its Focus conference [3]. However, the abrupt 2024 termination of CEO Dan Arnold 'for cause' due to workplace conduct created leadership turbulence [4]. New CEO Rich Steinmeier has stabilized the firm, but Glassdoor reviews cite toxic culture in technology divisions and concerns about leadership authenticity regarding talent initiatives [3]. The firm returned $64M to shareholders while maintaining a modest 10.8% payout ratio.</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LPL's financial profile is exceptionally strong on a forward basis: forward P/E of 11.5x with a PEG ratio of 0.43 signals deep undervaluation relative to growth [2]. Revenue surged 35% YoY to $4.94B in Q1 2026, ROE stands at 20.5%, and the company guides for steady EPS growth with Q2/Q3 forecasts of $5.51/$5.71 [1]. The main weakness is elevated debt-to-equity of 132% from acquisition financing and a thin 5.1% profit margin driven by pass-through revenue accounting typical of broker-dealers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LPL demonstrates solid infinite-game attributes through its platform-centric model designed to outlast any individual advisor relationship, but the CEO termination scandal and cultural challenges in technology divisions reveal organizational fragility beneath the growth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LPL's mission to champion independent financial advisors and democratize wealth management access represents a genuine just cause that extends beyond profit maximization. The platform model — enabling 30,000+ advisors to serve clients independently — creates durable purpose alignment, though the firm's aggressive acquisition strategy sometimes prioritizes scale over advisor experience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2024 termination of CEO Arnold 'for cause' exposed leadership accountability but also organizational dysfunction at the top. Glassdoor reviews describe technology divisions where 'empowerment is a buzzword thrown around in town halls but nowhere to be found in practice' [3]. New CEO Steinmeier has emphasized cultural repair, but rebuilding trust takes time.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LPL actively studies and responds to competitive threats from both traditional rivals (Raymond James, Ameriprise) and fintech disruptors (Altruist, Wealthfront). The measured AI response — requiring use cases to genuinely work before rollout — shows competitive humility rather than panic [5].</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shift from commission-based to fee-based advisory (now 59.5% of assets) demonstrates willingness to cannibalize legacy revenue streams [1]. The Atria acquisition expanded institutional channels. However, LPL has not yet made a transformative bet on direct-to-consumer or AI-native advisory that would signal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 demonstrated courage in terminating a successful CEO for conduct violations rather than protecting short-term results. Steinmeier's candid commentary on AI headwinds during earnings calls — even when it triggered a stock decline — shows willingness to prioritize transparency over market management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LPL Financial offers a compelling growth-at-a-reasonable-price opportunity with a forward P/E of 11.5x and PEG of 0.43, despite 35% revenue growth and $2.34T in advisory assets [1][2]. The independent advisor platform model creates powerful network effects — each new advisor brings clients and assets that improve the economics for all participants. With advisory assets now representing 59.5% of total client assets and growing, the secular shift from commission-based to fee-based wealth management provides a durable tailwind. The $21B in organic net new assets (4% annualized) demonstrates the platform's attractiveness even amid market volatility [1].</w:t>
      </w:r>
    </w:p>
    <w:p>
      <w:pPr>
        <w:spacing w:after="120"/>
      </w:pPr>
      <w:r>
        <w:rPr>
          <w:rFonts w:ascii="Calibri" w:hAnsi="Calibri"/>
          <w:b w:val="0"/>
          <w:color w:val="3A4A28"/>
          <w:sz w:val="20"/>
        </w:rPr>
        <w:t>The bear case revolves around three concerns: AI disruption risk after the Altruist 'Hazel AI' episode demonstrated that low-cost digital tools can replicate advisor functions [5], elevated leverage of 132% D/E from aggressive acquisition strategy, and the thin 5.1% profit margin that leaves limited room for compression during downturns. The CEO termination scandal, while resolved, raises questions about board oversight and corporate culture. Additionally, the broker-dealer model faces ongoing regulatory risk, as evidenced by the $18M SEC AML penalty and prior $50M off-channel communications fine [6]. If advisor attrition increases or organic growth decelerates, the premium valuation could compress rapidly.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advisory asset migration from commission-based to fee-based driving recurring revenue growth above 35% YoY</w:t>
      </w:r>
    </w:p>
    <w:p>
      <w:pPr>
        <w:spacing w:before="40" w:after="40"/>
        <w:ind w:left="283"/>
      </w:pPr>
      <w:r>
        <w:rPr>
          <w:rFonts w:ascii="Calibri" w:hAnsi="Calibri"/>
          <w:b/>
          <w:color w:val="4A6B25"/>
          <w:sz w:val="20"/>
        </w:rPr>
        <w:t xml:space="preserve">2. </w:t>
      </w:r>
      <w:r>
        <w:rPr>
          <w:rFonts w:ascii="Calibri" w:hAnsi="Calibri"/>
          <w:b w:val="0"/>
          <w:color w:val="3A4A28"/>
          <w:sz w:val="20"/>
        </w:rPr>
        <w:t>Successful AI tool deployment across 30,000+ advisor base enhancing productivity and client retention</w:t>
      </w:r>
    </w:p>
    <w:p>
      <w:pPr>
        <w:spacing w:before="40" w:after="40"/>
        <w:ind w:left="283"/>
      </w:pPr>
      <w:r>
        <w:rPr>
          <w:rFonts w:ascii="Calibri" w:hAnsi="Calibri"/>
          <w:b/>
          <w:color w:val="4A6B25"/>
          <w:sz w:val="20"/>
        </w:rPr>
        <w:t xml:space="preserve">3. </w:t>
      </w:r>
      <w:r>
        <w:rPr>
          <w:rFonts w:ascii="Calibri" w:hAnsi="Calibri"/>
          <w:b w:val="0"/>
          <w:color w:val="3A4A28"/>
          <w:sz w:val="20"/>
        </w:rPr>
        <w:t>Atria Wealth Solutions integration synergies and institutional channel expansion adding scale economies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competitors like Altruist compressing advisory fees and potentially disintermediating the traditional advisor model</w:t>
      </w:r>
    </w:p>
    <w:p>
      <w:pPr>
        <w:spacing w:before="40" w:after="40"/>
        <w:ind w:left="283"/>
      </w:pPr>
      <w:r>
        <w:rPr>
          <w:rFonts w:ascii="Calibri" w:hAnsi="Calibri"/>
          <w:b/>
          <w:color w:val="4A6B25"/>
          <w:sz w:val="20"/>
        </w:rPr>
        <w:t xml:space="preserve">2. </w:t>
      </w:r>
      <w:r>
        <w:rPr>
          <w:rFonts w:ascii="Calibri" w:hAnsi="Calibri"/>
          <w:b w:val="0"/>
          <w:color w:val="3A4A28"/>
          <w:sz w:val="20"/>
        </w:rPr>
        <w:t>Elevated debt-to-equity of 132% from acquisitions limiting financial flexibility during potential market downturn</w:t>
      </w:r>
    </w:p>
    <w:p>
      <w:pPr>
        <w:spacing w:before="40" w:after="40"/>
        <w:ind w:left="283"/>
      </w:pPr>
      <w:r>
        <w:rPr>
          <w:rFonts w:ascii="Calibri" w:hAnsi="Calibri"/>
          <w:b/>
          <w:color w:val="4A6B25"/>
          <w:sz w:val="20"/>
        </w:rPr>
        <w:t xml:space="preserve">3. </w:t>
      </w:r>
      <w:r>
        <w:rPr>
          <w:rFonts w:ascii="Calibri" w:hAnsi="Calibri"/>
          <w:b w:val="0"/>
          <w:color w:val="3A4A28"/>
          <w:sz w:val="20"/>
        </w:rPr>
        <w:t>Recurring regulatory penalties ($18M AML fine, $50M off-channel fine) suggesting systemic compliance weaknesses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represents both a material threat and opportunity for LPL's advisor-centric model. The Altruist 'Hazel AI' launch in February 2026 demonstrated that AI-powered tax planning and portfolio analysis can be performed at a fraction of traditional advisory costs, causing an 8.3% single-day stock decline [5]. However, LPL's scale advantage — 30,000+ advisors and $2.3T in assets — creates a moat that purely digital challengers struggle to replicate for complex wealth management needs [3]. CEO Steinmeier emphasized AI as an 'accelerant to advisor productivity' rather than a replacement, but the firm must execute on AI tool deployment to prevent erosion of its value proposition.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LPL Financial Q1 2026 Earnings Release and 10-Q Filing,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LPLA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LPL Financial CEO Rich Steinmeier Focus 2025 Address and Glassdoor Reviews,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PLANADVISER — Steinmeier Named LPL's CEO, Replacing Ousted Arnold, October 2024</w:t>
      </w:r>
    </w:p>
    <w:p>
      <w:pPr>
        <w:spacing w:before="20" w:after="20"/>
        <w:ind w:left="170"/>
      </w:pPr>
      <w:r>
        <w:rPr>
          <w:rFonts w:ascii="Calibri" w:hAnsi="Calibri"/>
          <w:b/>
          <w:color w:val="4A6B25"/>
          <w:sz w:val="15"/>
        </w:rPr>
        <w:t xml:space="preserve">5. </w:t>
      </w:r>
      <w:r>
        <w:rPr>
          <w:rFonts w:ascii="Calibri" w:hAnsi="Calibri"/>
          <w:b w:val="0"/>
          <w:color w:val="3A4A28"/>
          <w:sz w:val="17"/>
        </w:rPr>
        <w:t>RIABiz — LPL Shares Tumble After AI Headwind Commentary, May 2026</w:t>
      </w:r>
    </w:p>
    <w:p>
      <w:pPr>
        <w:spacing w:before="20" w:after="20"/>
        <w:ind w:left="170"/>
      </w:pPr>
      <w:r>
        <w:rPr>
          <w:rFonts w:ascii="Calibri" w:hAnsi="Calibri"/>
          <w:b/>
          <w:color w:val="4A6B25"/>
          <w:sz w:val="15"/>
        </w:rPr>
        <w:t xml:space="preserve">6. </w:t>
      </w:r>
      <w:r>
        <w:rPr>
          <w:rFonts w:ascii="Calibri" w:hAnsi="Calibri"/>
          <w:b w:val="0"/>
          <w:color w:val="3A4A28"/>
          <w:sz w:val="17"/>
        </w:rPr>
        <w:t>SEC Charges LPL Financial with Anti-Money Laundering Violations, SEC.gov,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