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LRCX</w:t>
      </w:r>
      <w:r>
        <w:rPr>
          <w:rFonts w:ascii="Calibri" w:hAnsi="Calibri"/>
          <w:b/>
          <w:color w:val="1A2010"/>
          <w:sz w:val="40"/>
        </w:rPr>
        <w:t xml:space="preserve">  Lam Research Corporation</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Lam Research designs, manufactures, and services semiconductor processing equipment used in integrated circuit fabrication. The company is a leader in etch, deposition, and clean technologies critical to advanced chip manufacturing. Lam's equipment is essential for producing AI chips, high-bandwidth memory (HBM), and advanced logic devices at leading foundries worldwide.</w:t>
      </w:r>
    </w:p>
    <w:p>
      <w:r>
        <w:rPr>
          <w:rFonts w:ascii="Calibri" w:hAnsi="Calibri"/>
          <w:b/>
          <w:color w:val="6E8450"/>
          <w:sz w:val="18"/>
        </w:rPr>
        <w:t>19,700 Employees · https://www.lamresearch.com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Lam delivered record FY2025 revenue of $20.6B (up 27% YoY) with 10 consecutive quarters of growth, driven by AI-related semiconductor demand [1]. The company has successfully navigated the cyclical semiconductor equipment market, growing from $10B in 2020 to $20.6B in 2025. Advanced packaging revenue is expected to grow 40%+ in 2026, demonstrating successful expansion into new technology nodes. AI Deployment (1/2): Lam's Equipment Intelligence platform uses AI/ML for process optimization and predictive maintenance, shipping with current-generation tools, though AI revenue is not separately quantified [2]. Market Share (2/2): Lam holds dominant market share in etch (~50%) and deposition, two of the most critical and growing semiconductor manufacturing steps. The shift to 3D NAND, GAA transistors, and HBM directly increases etch and deposition intensity per wafer [1]. Pipeline (1/2): Clear next-gen visibility with WFE market expected at $135B in 2026 (up from $110B in 2025), and management targeting 2x revenue and profit growth over five years. Q3 FY2026 guidance of $5.7B implies continued acceleration [1]. R&amp;D Intensity (1/1): Significant R&amp;D investment in advanced etch and deposition technologies, with a venture arm (Lam Capital) investing in disruptive semiconductor ecosystem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Lam's purpose — 'We are a fundamental enabler of the fourth industrial revolution' with a commitment to 'prove our customers' next big thing' — is specific, thoughtful, and directly connected to a larger societal purpose (enabling the semiconductor revolution that powers AI, healthcare, communications) [2]. It differentiates Lam from generic equipment makers and connects daily work to transformative impact. Community Impact (1/2): Lam has general corporate philanthropy and exceeded its 2025 employee volunteer hours goal. Named to the Dow Jones Sustainability Index for North America for two consecutive years [3]. Specific dollar amounts for charitable giving are not prominently disclosed. Employee Retention (1/2): Lam's 19,700 employees operate in a specialized engineering culture. The company cites employee fulfillment and retention as a key ESG focus area, and the leadership team shows stability (CEO Archer since 2018, COO Varadarajan promoted from within) [2]. Insider Buying (1/2): CEO Tim Archer has led since 2018 with significant equity exposure. The company returns substantial capital through buybacks and dividends ($0.98/share annualized), though specific net insider buying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 Research's financial profile is exceptional across nearly every metric. D/E of 44.2% is conservative for a technology company, providing significant balance sheet flexibility [5]. ROE of 65.6% reflects outstanding capital efficiency and the asset-light nature of equipment design. Revenue grew 22.1% YoY with a 5yr CAGR of 15.4%, both well above targets [1]. Profit margin of 30.2% demonstrates pricing power in mission-critical semiconductor equipment. Forward P/E of 32.4x is the only blemish — elevated but justified by the WFE market expanding from $110B to $135B in 2026 and management's 2x growth target over five years [1]. The dividend is young but growing rapidly: 12 consecutive years of payment and growth, 14.9% 5yr CAGR, and a conservative 20% payout ratio that provides enormous room for continued increases [5]. Liquidity floor easily cleared at $2.7B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Lam Research demonstrates strong infinite game qualities in its commitment to enabling the semiconductor revolution and its patient investment in next-generation technologies. CEO Tim Archer's 14-year tenure (joined 2012, CEO since 2018) and the company's systematic expansion from etch specialist to multi-product semiconductor equipment leader show long-term thinking. However, the semiconductor equipment industry's inherent cyclicality and Lam's dependence on a handful of mega-customers (TSMC, Samsung, Intel, SK Hynix) introduce finite-game pressures around quarterly WFE spending forecasts.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 earns 2/3 points. The company's purpose as a 'fundamental enabler of the fourth industrial revolution' is genuine and specific — Lam's equipment literally makes the chips that power AI, smartphones, medical devices, and autonomous vehicles [2]. This cause has been validated by decades of investment in etch and deposition technology that positioned Lam perfectly for the AI semiconductor boom. However, the cause hasn't been tested through a genuine existential crisis in the way that would earn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 earns 1/2 points. The company shows organizational stability with CEO Archer's tenure since 2018 and COO Varadarajan promoted from within in February 2026 [2]. Employee fulfillment and retention is cited as a key ESG priority. The February 2026 leadership restructuring to 'increase velocity for the AI era' was executed through internal promotions rather than external hires, suggesting trust in existing talent. However, no exceptional evidence of high-trust culture practices or unusually long tenure data.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 earns 1/1 point. Lam operates alongside Applied Materials and Tokyo Electron in semiconductor equipment, and management frames competition in terms of technology leadership and customer partnership rather than market share warfare. The multi-year alliance with CEA-Leti and the addition of Cadence CEO Anirudh Devgan to the board demonstrate a collaborative competitive mindset focused on advancing the broader semiconductor ecosystem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 earns 1/2 points. The company has successfully evolved from a pure etch equipment maker to a multi-product platform spanning deposition, clean, and advanced packaging — entering adjacent markets as semiconductor manufacturing complexity increased [2]. The strategic expansion into advanced packaging for HBM and 3D stacking represents meaningful adaptation to AI-driven demand shifts. However, these are incremental expansions within semiconductor equipment rather than a transformative business 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 earns 1/2 points. The company has maintained heavy R&amp;D investment through semiconductor cyclical downturns — FY2024 revenue dropped to $14.9B from $17.4B in FY2023, yet Lam continued investing in next-gen tools that drove the recovery to $20.6B in FY2025 [1]. Management's 2x revenue and profit growth target over five years is a bold public commitment. The February 2026 leadership restructuring shows willingness to reorganize for the AI era. However, no evidence of dramatically costly or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Lam Research is a picks-and-shovels play on the AI semiconductor revolution, holding dominant market share in etch (~50%) and deposition — the two manufacturing steps that become more intensive as chips get more complex. FY2025 delivered record $20.6B revenue (up 27%) with 49% EPS growth and 30% profit margins, as AI-driven demand for advanced logic, HBM, and advanced packaging accelerated spending [1]. The WFE market is expanding from $110B to $135B in 2026, with advanced packaging alone growing 40%+. At 32.4x forward earnings, Lam is reasonably valued for a company with 15%+ long-term revenue CAGR, 65% ROE, and a management team targeting 2x revenue and profit growth over five years. The 44% D/E ratio, 20% payout ratio, and 14.9% dividend growth CAGR provide both financial safety and income growth [5].</w:t>
      </w:r>
    </w:p>
    <w:p>
      <w:pPr>
        <w:spacing w:after="120"/>
      </w:pPr>
      <w:r>
        <w:rPr>
          <w:rFonts w:ascii="Calibri" w:hAnsi="Calibri"/>
          <w:b w:val="0"/>
          <w:color w:val="3A4A28"/>
          <w:sz w:val="20"/>
        </w:rPr>
        <w:t>The bear case centers on cyclicality and geopolitical risk. Semiconductor equipment spending is notoriously volatile — Lam's revenue dropped 14% from FY2023 to FY2024 before the AI recovery [1]. The current AI capex boom could face a correction if hyperscaler spending slows or if AI revenue growth at customers disappoints expectations. China represented a significant portion of revenue before export controls, and further restrictions could cap growth. Forward P/E of 32.4x prices in continued strong growth — any WFE spending disappointment versus the $135B 2026 forecast could trigger multiple compression. Clean room capacity constraints could limit Lam's ability to fulfill demand in the near term. The stock's 0.49% dividend yield means investors are primarily paying for growth, not income, despite the Dividend sleeve classification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WFE market expansion from $110B to $135B in 2026, driven by AI chip manufacturing intensity increases across logic, memory, and advanced packaging — Lam's etch and deposition steps multiply with each technology node [1]</w:t>
      </w:r>
    </w:p>
    <w:p>
      <w:pPr>
        <w:spacing w:before="40" w:after="40"/>
        <w:ind w:left="283"/>
      </w:pPr>
      <w:r>
        <w:rPr>
          <w:rFonts w:ascii="Calibri" w:hAnsi="Calibri"/>
          <w:b/>
          <w:color w:val="4A6B25"/>
          <w:sz w:val="20"/>
        </w:rPr>
        <w:t xml:space="preserve">2. </w:t>
      </w:r>
      <w:r>
        <w:rPr>
          <w:rFonts w:ascii="Calibri" w:hAnsi="Calibri"/>
          <w:b w:val="0"/>
          <w:color w:val="3A4A28"/>
          <w:sz w:val="20"/>
        </w:rPr>
        <w:t>Advanced packaging revenue growing 40%+ in 2026 as HBM3e/4 and 3D stacking for AI chips require through-silicon via etch and specialized deposition that are Lam core competencies [1]</w:t>
      </w:r>
    </w:p>
    <w:p>
      <w:pPr>
        <w:spacing w:before="40" w:after="40"/>
        <w:ind w:left="283"/>
      </w:pPr>
      <w:r>
        <w:rPr>
          <w:rFonts w:ascii="Calibri" w:hAnsi="Calibri"/>
          <w:b/>
          <w:color w:val="4A6B25"/>
          <w:sz w:val="20"/>
        </w:rPr>
        <w:t xml:space="preserve">3. </w:t>
      </w:r>
      <w:r>
        <w:rPr>
          <w:rFonts w:ascii="Calibri" w:hAnsi="Calibri"/>
          <w:b w:val="0"/>
          <w:color w:val="3A4A28"/>
          <w:sz w:val="20"/>
        </w:rPr>
        <w:t>Management's 2x revenue and profit growth target over five years, supported by the February 2026 leadership restructuring to 'increase velocity for the AI era' and strategic CEA-Leti alliance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cyclicality — WFE spending has historically experienced 20-30% peak-to-trough swings, and the current AI capex boom could face correction if hyperscaler ROI on AI infrastructure disappoints [1]</w:t>
      </w:r>
    </w:p>
    <w:p>
      <w:pPr>
        <w:spacing w:before="40" w:after="40"/>
        <w:ind w:left="283"/>
      </w:pPr>
      <w:r>
        <w:rPr>
          <w:rFonts w:ascii="Calibri" w:hAnsi="Calibri"/>
          <w:b/>
          <w:color w:val="4A6B25"/>
          <w:sz w:val="20"/>
        </w:rPr>
        <w:t xml:space="preserve">2. </w:t>
      </w:r>
      <w:r>
        <w:rPr>
          <w:rFonts w:ascii="Calibri" w:hAnsi="Calibri"/>
          <w:b w:val="0"/>
          <w:color w:val="3A4A28"/>
          <w:sz w:val="20"/>
        </w:rPr>
        <w:t>Geopolitical export control risk — further restrictions on semiconductor equipment sales to China could meaningfully reduce Lam's addressable market and revenue base</w:t>
      </w:r>
    </w:p>
    <w:p>
      <w:pPr>
        <w:spacing w:before="40" w:after="40"/>
        <w:ind w:left="283"/>
      </w:pPr>
      <w:r>
        <w:rPr>
          <w:rFonts w:ascii="Calibri" w:hAnsi="Calibri"/>
          <w:b/>
          <w:color w:val="4A6B25"/>
          <w:sz w:val="20"/>
        </w:rPr>
        <w:t xml:space="preserve">3. </w:t>
      </w:r>
      <w:r>
        <w:rPr>
          <w:rFonts w:ascii="Calibri" w:hAnsi="Calibri"/>
          <w:b w:val="0"/>
          <w:color w:val="3A4A28"/>
          <w:sz w:val="20"/>
        </w:rPr>
        <w:t>Clean room capacity constraints and supply chain bottlenecks could limit Lam's ability to manufacture and deliver tools to meet surging demand, potentially capping near-term revenue upside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Lam Research is structurally immune to AI disruption because it IS the AI infrastructure. Every AI chip — whether from NVIDIA, AMD, Intel, or custom ASICs — must be manufactured using Lam's etch and deposition equipment. AI directly increases demand for Lam's products: advanced AI chips require more etch and deposition steps per wafer, HBM memory stacking uses Lam's through-silicon via technology, and the WFE market is expanding from $110B to $135B in 2026 largely driven by AI [1]. No AI system can replace the physical equipment needed to fabricate semiconductors. Geopolitical risk from China export controls is the primary headwind, but diversification across global fabs mitigates this. AI Opportunity (1/1): Lam generates substantial revenue directly from AI-related semiconductor manufacturing. Advanced packaging (HBM, 3D stacking) is expected to grow 40%+ in 2026, and AI-driven WFE spending is the primary growth driver across all of Lam's product 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Lam Research Q2 FY2026 Earnings Release and Call Transcript, January 28, 2026 — Record $20.6B FY2025 revenue, Q3 guidance $5.7B, WFE $135B outlook</w:t>
      </w:r>
    </w:p>
    <w:p>
      <w:pPr>
        <w:spacing w:before="20" w:after="20"/>
        <w:ind w:left="170"/>
      </w:pPr>
      <w:r>
        <w:rPr>
          <w:rFonts w:ascii="Calibri" w:hAnsi="Calibri"/>
          <w:b/>
          <w:color w:val="4A6B25"/>
          <w:sz w:val="15"/>
        </w:rPr>
        <w:t xml:space="preserve">2. </w:t>
      </w:r>
      <w:r>
        <w:rPr>
          <w:rFonts w:ascii="Calibri" w:hAnsi="Calibri"/>
          <w:b w:val="0"/>
          <w:color w:val="3A4A28"/>
          <w:sz w:val="17"/>
        </w:rPr>
        <w:t>Lam Research Leadership Transitions Announcement, February 3, 2026 — COO appointment, board additions, 'velocity for the AI era' restructuring, CEA-Leti alliance</w:t>
      </w:r>
    </w:p>
    <w:p>
      <w:pPr>
        <w:spacing w:before="20" w:after="20"/>
        <w:ind w:left="170"/>
      </w:pPr>
      <w:r>
        <w:rPr>
          <w:rFonts w:ascii="Calibri" w:hAnsi="Calibri"/>
          <w:b/>
          <w:color w:val="4A6B25"/>
          <w:sz w:val="15"/>
        </w:rPr>
        <w:t xml:space="preserve">3. </w:t>
      </w:r>
      <w:r>
        <w:rPr>
          <w:rFonts w:ascii="Calibri" w:hAnsi="Calibri"/>
          <w:b w:val="0"/>
          <w:color w:val="3A4A28"/>
          <w:sz w:val="17"/>
        </w:rPr>
        <w:t>Lam Research 2023 ESG Report and Sustainalytics Rating — Negligible ESG risk, DJSI inclusion, net zero 2050 target</w:t>
      </w:r>
    </w:p>
    <w:p>
      <w:pPr>
        <w:spacing w:before="20" w:after="20"/>
        <w:ind w:left="170"/>
      </w:pPr>
      <w:r>
        <w:rPr>
          <w:rFonts w:ascii="Calibri" w:hAnsi="Calibri"/>
          <w:b/>
          <w:color w:val="4A6B25"/>
          <w:sz w:val="15"/>
        </w:rPr>
        <w:t xml:space="preserve">4. </w:t>
      </w:r>
      <w:r>
        <w:rPr>
          <w:rFonts w:ascii="Calibri" w:hAnsi="Calibri"/>
          <w:b w:val="0"/>
          <w:color w:val="3A4A28"/>
          <w:sz w:val="17"/>
        </w:rPr>
        <w:t>Digitimes — Lam Research hits $20.6B revenue high, sees 2026 WFE spending at $135B,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LRCX (Lam Research Corporation),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