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LRMR</w:t>
      </w:r>
      <w:r>
        <w:rPr>
          <w:rFonts w:ascii="Calibri" w:hAnsi="Calibri"/>
          <w:b/>
          <w:color w:val="1A2010"/>
          <w:sz w:val="40"/>
        </w:rPr>
        <w:t xml:space="preserve">  Larimar Therapeutics, Inc.</w:t>
      </w:r>
    </w:p>
    <w:p>
      <w:pPr>
        <w:spacing w:after="120"/>
      </w:pPr>
      <w:r>
        <w:rPr>
          <w:rFonts w:ascii="Calibri" w:hAnsi="Calibri"/>
          <w:b/>
          <w:color w:val="6E8450"/>
          <w:sz w:val="18"/>
        </w:rPr>
        <w:t>GROWTH SLEEVE · 2026-04-02 · Inspire: 27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Larimar Therapeutics is a clinical-stage biotechnology company developing treatments for complex rare diseases using its proprietary intracellular protein delivery platform. The lead candidate, nomlabofusp, is in Phase 2 development for Friedreich's ataxia with FDA Breakthrough Therapy Designation, targeting a BLA submission in June 2026 and potential U.S. launch in H1 2027.</w:t>
      </w:r>
    </w:p>
    <w:p>
      <w:r>
        <w:rPr>
          <w:rFonts w:ascii="Calibri" w:hAnsi="Calibri"/>
          <w:b/>
          <w:color w:val="6E8450"/>
          <w:sz w:val="18"/>
        </w:rPr>
        <w:t>82 Employees · https://larimartx.com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Larimar has advanced nomlabofusp from preclinical through Phase 2 with positive clinical data — 100% of patients achieved frataxin levels over 50% of healthy volunteer medians — but has not yet brought a product to market [1]. The FDA removed a partial clinical hold in 2024, demonstrating regulatory navigation. AI Deployment (0/2): No AI-related products or AI-driven drug development initiatives evident; innovation is centered on fusion protein biology and intracellular delivery [2]. Market Share (2/2): Nomlabofusp has first-mover advantage in frataxin replacement for Friedreich's ataxia, a rare disease with ~5,000-10,000 U.S. patients and no approved disease-modifying therapy. FDA Breakthrough Therapy, Fast Track, Orphan Drug, and Rare Pediatric Disease designations create significant regulatory moats [1]. Pipeline (1/2): BLA submission planned for June 2026 with potential accelerated approval using skin frataxin as a surrogate endpoint; Phase 3 screening begins Q2 2026; the intracellular delivery platform could extend to other rare diseases but no additional candidates are disclosed [1]. R&amp;D Intensity (1/1): R&amp;D spending of $154.2M in 2025 (nearly doubled from prior year) represents essentially 100% of operating costs — the entire company is an R&amp;D operation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Larimar's mission to develop transformative treatments for Friedreich's ataxia — a devastating rare disease affecting children and young adults — is genuinely purposeful and specific [2]. Board member Tom Hamilton co-founded the CureFA Foundation and serves on the Friedreich's Ataxia Research Alliance, demonstrating deep patient community connection. The mission is specific, service-oriented, and meaningful, though the company is too young to have validated it through decades of execution. Community Impact (1/2): Larimar's work addresses a disease with no approved disease-modifying therapy, directly serving a vulnerable patient population [1]. The CureFA Foundation connection and patient advocacy integration show genuine community commitment. Employee Retention (0/2): With 82 employees and no Glassdoor data, retention cannot be assessed [2]. Insider Buying (1/2): CEO Ben-Maimon has significant equity exposure through stock-based compensation (76.1% of $2.51M total comp), and the recent $100M public offering at $5.00/share demonstrates institutional investor conviction, though no open-market insider buying data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Larimar is a pre-revenue clinical-stage biotech burning $165.7M annually in net losses (FY2025), with zero revenue and negative ROE of -132.6% [1]. The balance sheet is managed conservatively for a biotech — D/E of just 5.2% scores at the target — but this is the only positive metric. Profit margin is 0%, and there is no revenue or revenue growth to measure. The recent $100M equity offering brought pro forma cash to $244.5M, providing runway into Q2 2027, which covers the BLA submission timeline [1]. Forward P/E of -2.6x is meaningless for a money-losing company. Liquidity floor passes at $19.6M daily ($4.68 × 4.2M avg volume)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Larimar demonstrates genuine purpose in addressing Friedreich's ataxia — a devastating rare disease with no approved disease-modifying therapy. The patient community connection through board member Tom Hamilton (CureFA Foundation) and the single-minded focus on bringing nomlabofusp to patients reflects mission-driven behavior. However, the company is too young and too small to have been tested through multiple cycles, and the financial reality of burning $165M annually with zero revenue creates existential fragility.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Larimar's cause — bringing the first disease-modifying treatment to Friedreich's ataxia patients — is genuinely compelling and specific [1]. The disease affects children and young adults with progressive loss of coordination and cardiac complications, and no approved therapy exists. Board member Tom Hamilton's co-founding of the CureFA Foundation demonstrates that this cause attracts people who sacrifice personally to advance it. However, the company has not yet proven the cause through decades of execution.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82 employees, Larimar operates as a small, mission-driven team. CEO Ben-Maimon has led since 2020 (6 years), and key hires from Janssen, and established pharma companies suggest the team is experienced [2]. The VP of Commercial hire in April 2024 shows proactive pre-launch planning. However, no employee culture data exists for a company this size, and the Pomerantz investor investigation (October 2025) raises minor governance questions.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 the Friedreich's ataxia space, Larimar has limited direct competitors — the company is a first-mover with no approved disease-modifying therapies to compete against [1]. Without meaningful competition, the worthy rivals framework is difficult to apply. The company's competitive language focuses on patient need rather than competitive positioning, which is appropriate but untested by actual competitive dynamics. (0/1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Larimar is fundamentally a single-asset biotech company — the entire enterprise depends on nomlabofusp for Friedreich's ataxia [1]. The intracellular delivery platform theoretically enables expansion to other rare diseases, but no additional candidates have been disclosed. The company has not demonstrated existential flexibility because it has not yet faced the need to pivot.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Continuing development through the FDA partial clinical hold (resolved 2024) and the anaphylaxis safety signal (7 of 10 patients in first 6 weeks) required genuine courage — many companies would have abandoned the program [1]. The decision to pursue accelerated approval via surrogate endpoint (skin frataxin) rather than waiting for traditional Phase 3 endpoints shows strategic boldness. R&amp;D spending nearly doubled to $154.2M in 2025 despite no revenue.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Larimar Therapeutics represents a high-conviction binary bet on the first disease-modifying therapy for Friedreich's ataxia. Nomlabofusp has FDA Breakthrough Therapy Designation with a BLA submission planned for June 2026, targeting accelerated approval via skin frataxin as a surrogate endpoint [1]. Clinical data shows 100% of patients achieved frataxin levels over 50% of healthy volunteer medians, with consistent improvement across four clinical outcomes versus natural history. With 15 analysts covering the stock at a consensus 'Strong Buy' and average price target of $16.70 (257% upside from current $4.68), the market sees significant optionality [1]. Pro forma cash of $244.5M provides runway into Q2 2027, covering the BLA submission and potential approval timeline. Orphan Drug exclusivity, Rare Pediatric Disease Priority Review Voucher, and first-mover advantage in a disease with ~5,000-10,000 U.S. patients create a defensible commercial position [1].</w:t>
      </w:r>
    </w:p>
    <w:p>
      <w:pPr>
        <w:spacing w:after="120"/>
      </w:pPr>
      <w:r>
        <w:rPr>
          <w:rFonts w:ascii="Calibri" w:hAnsi="Calibri"/>
          <w:b w:val="0"/>
          <w:color w:val="3A4A28"/>
          <w:sz w:val="20"/>
        </w:rPr>
        <w:t>The bear case is substantial: this is a pre-revenue company burning $165.7M annually with a $486M market cap built entirely on binary clinical and regulatory outcomes [1]. The anaphylaxis signal — 7 of 10 patients experienced anaphylaxis in the first 6 weeks of dosing — is a serious safety concern that could limit the commercial profile even if the drug is approved, potentially requiring supervised administration and reducing the addressable market [1]. The Pomerantz investor investigation (October 2025) flags potential governance concerns. The $100M offering at $5.00/share represents significant dilution, and further capital raises are likely before commercialization. A complete response letter or clinical hold would be existential. Revenue projections depend on pricing assumptions in a small rare disease population, and payer pushback on an accelerated-approval product with a surrogate endpoint could limit commercial uptake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BLA submission planned for June 2026 with FDA Breakthrough Therapy Designation, targeting accelerated approval using skin frataxin as a reasonably likely surrogate endpoint [1]</w:t>
      </w:r>
    </w:p>
    <w:p>
      <w:pPr>
        <w:spacing w:before="40" w:after="40"/>
        <w:ind w:left="283"/>
      </w:pPr>
      <w:r>
        <w:rPr>
          <w:rFonts w:ascii="Calibri" w:hAnsi="Calibri"/>
          <w:b/>
          <w:color w:val="4A6B25"/>
          <w:sz w:val="20"/>
        </w:rPr>
        <w:t xml:space="preserve">2. </w:t>
      </w:r>
      <w:r>
        <w:rPr>
          <w:rFonts w:ascii="Calibri" w:hAnsi="Calibri"/>
          <w:b w:val="0"/>
          <w:color w:val="3A4A28"/>
          <w:sz w:val="20"/>
        </w:rPr>
        <w:t>Topline open-label study data expected Q2 2026, which could demonstrate sustained disease modification across multiple clinical endpoints versus natural history [1]</w:t>
      </w:r>
    </w:p>
    <w:p>
      <w:pPr>
        <w:spacing w:before="40" w:after="40"/>
        <w:ind w:left="283"/>
      </w:pPr>
      <w:r>
        <w:rPr>
          <w:rFonts w:ascii="Calibri" w:hAnsi="Calibri"/>
          <w:b/>
          <w:color w:val="4A6B25"/>
          <w:sz w:val="20"/>
        </w:rPr>
        <w:t xml:space="preserve">3. </w:t>
      </w:r>
      <w:r>
        <w:rPr>
          <w:rFonts w:ascii="Calibri" w:hAnsi="Calibri"/>
          <w:b w:val="0"/>
          <w:color w:val="3A4A28"/>
          <w:sz w:val="20"/>
        </w:rPr>
        <w:t>Potential U.S. launch in H1 2027 as the first disease-modifying therapy for Friedreich's ataxia, with Orphan Drug exclusivity and Rare Pediatric Disease Priority Review Voucher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Anaphylaxis safety signal — 7 of 10 patients experienced anaphylaxis in the first 6 weeks, which could result in a Risk Evaluation and Mitigation Strategy (REMS), limiting commercial adoption [1]</w:t>
      </w:r>
    </w:p>
    <w:p>
      <w:pPr>
        <w:spacing w:before="40" w:after="40"/>
        <w:ind w:left="283"/>
      </w:pPr>
      <w:r>
        <w:rPr>
          <w:rFonts w:ascii="Calibri" w:hAnsi="Calibri"/>
          <w:b/>
          <w:color w:val="4A6B25"/>
          <w:sz w:val="20"/>
        </w:rPr>
        <w:t xml:space="preserve">2. </w:t>
      </w:r>
      <w:r>
        <w:rPr>
          <w:rFonts w:ascii="Calibri" w:hAnsi="Calibri"/>
          <w:b w:val="0"/>
          <w:color w:val="3A4A28"/>
          <w:sz w:val="20"/>
        </w:rPr>
        <w:t>Binary regulatory risk — a complete response letter or additional clinical hold on the BLA would be existential given the single-asset portfolio and $165.7M annual cash burn [1]</w:t>
      </w:r>
    </w:p>
    <w:p>
      <w:pPr>
        <w:spacing w:before="40" w:after="40"/>
        <w:ind w:left="283"/>
      </w:pPr>
      <w:r>
        <w:rPr>
          <w:rFonts w:ascii="Calibri" w:hAnsi="Calibri"/>
          <w:b/>
          <w:color w:val="4A6B25"/>
          <w:sz w:val="20"/>
        </w:rPr>
        <w:t xml:space="preserve">3. </w:t>
      </w:r>
      <w:r>
        <w:rPr>
          <w:rFonts w:ascii="Calibri" w:hAnsi="Calibri"/>
          <w:b w:val="0"/>
          <w:color w:val="3A4A28"/>
          <w:sz w:val="20"/>
        </w:rPr>
        <w:t>Dilution risk — the company has raised $162M in recent offerings and will likely require additional capital before reaching profitability, with each raise diluting existing shareholders at depressed prices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Larimar's core business — developing fusion protein biologics for rare genetic diseases — involves physical-world drug manufacturing, clinical trials, and FDA regulatory processes that AI cannot replicate or displace [2]. Drug development for rare diseases requires wet-lab biology, patient enrollment in clinical trials, and regulatory navigation through breakthrough therapy pathways — all fundamentally immune to AI substitution. AI may accelerate certain drug discovery processes but cannot replace the clinical development and manufacturing pipeline. AI Opportunity (0/1): No AI-related revenue or products. While AI could theoretically accelerate aspects of drug discovery, Larimar does not generate revenue from AI-related activities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Larimar Therapeutics Q4/FY2025 Earnings Release, FDA Breakthrough Therapy Designation announcement, Phase 2 clinical data releases, February-March 2026</w:t>
      </w:r>
    </w:p>
    <w:p>
      <w:pPr>
        <w:spacing w:before="20" w:after="20"/>
        <w:ind w:left="170"/>
      </w:pPr>
      <w:r>
        <w:rPr>
          <w:rFonts w:ascii="Calibri" w:hAnsi="Calibri"/>
          <w:b/>
          <w:color w:val="4A6B25"/>
          <w:sz w:val="15"/>
        </w:rPr>
        <w:t xml:space="preserve">2. </w:t>
      </w:r>
      <w:r>
        <w:rPr>
          <w:rFonts w:ascii="Calibri" w:hAnsi="Calibri"/>
          <w:b w:val="0"/>
          <w:color w:val="3A4A28"/>
          <w:sz w:val="17"/>
        </w:rPr>
        <w:t>Larimar Therapeutics corporate website — leadership team, mission, intracellular delivery platform, pipeline,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LRMR key statistics, analyst estimates,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