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LUCD</w:t>
      </w:r>
      <w:r>
        <w:rPr>
          <w:rFonts w:ascii="Calibri" w:hAnsi="Calibri"/>
          <w:b/>
          <w:color w:val="1A2010"/>
          <w:sz w:val="40"/>
        </w:rPr>
        <w:t xml:space="preserve">  Lucid Diagnostics Inc.</w:t>
      </w:r>
    </w:p>
    <w:p>
      <w:pPr>
        <w:spacing w:after="120"/>
      </w:pPr>
      <w:r>
        <w:rPr>
          <w:rFonts w:ascii="Calibri" w:hAnsi="Calibri"/>
          <w:b/>
          <w:color w:val="6E8450"/>
          <w:sz w:val="18"/>
        </w:rPr>
        <w:t>GROWTH SLEEVE · 2026-04-29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Lucid Diagnostics is a commercial-stage medical diagnostics technology company focused on preventing esophageal adenocarcinoma deaths through early detection. Its flagship product is the EsoGuard Esophageal DNA Test performed on samples collected with the EsoCheck cell collection device, targeting at-risk GERD patients.</w:t>
      </w:r>
    </w:p>
    <w:p>
      <w:r>
        <w:rPr>
          <w:rFonts w:ascii="Calibri" w:hAnsi="Calibri"/>
          <w:b/>
          <w:color w:val="6E8450"/>
          <w:sz w:val="18"/>
        </w:rPr>
        <w:t>82 Employees · https://www.luciddx.com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EsoGuard/EsoCheck is an incremental diagnostic innovation — a non-invasive esophageal cell collection device paired with a DNA methylation test. While clinically useful, it is an improvement on existing endoscopic biopsy methods rather than a transformative platform [1][2]. AI Deployment (0/2): No evidence of AI-powered products or AI-driven operational efficiencies. The EsoGuard test uses DNA methylation biomarkers, not AI algorithms [2]. Market Share (1/2): The company is gaining traction with 3,664 tests in Q4 2025 (29% growth) and a VA Federal Supply Schedule contract opening access to ~170 VA medical centers and 9 million veterans. However, test volumes remain modest relative to the total addressable GERD population [1][3]. Product Pipeline (1/2): The VA contract and Medicare coverage pursuit represent clear near-term milestones, but there are no next-generation products in development beyond the existing EsoGuard/EsoCheck platform [1][3]. R&amp;D Intensity (1/1): R&amp;D spending is appropriate for a commercial-stage diagnostics company focused on clinical evidence generation and regulatory milestones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Lucid Diagnostics' mission centers on preventing esophageal cancer deaths through early detection — a clear and meaningful purpose connecting diagnostic technology to patient survival. The goal is specific to the company's work but articulated without deeper inspirational language [2]. Community Impact (1/2): The VA contract demonstrates commitment to serving veterans, a medically underserved population with high GERD prevalence, providing access to potentially life-saving screening at no cost through the federal system [3]. Employee Retention (0/2): No Glassdoor data available specific to Lucid Diagnostics (search results returned other 'Lucid' companies). As a subsidiary of PAVmed Inc. with only 82 employees, limited employee culture data is available [4]. Insider Buying (1/2): The company completed an $18M underwritten offering in April 2026, and CEO Lishan Aklog has been recognized as a Top Healthcare Technology CEO. However, no specific insider buying transactions were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receives a zero due to the liquidity floor rule — avg daily volume of 779,254 shares at $1.04 per share yields daily dollar volume of approximately $810,000, below the $1M threshold [6]. Even without the floor, the underlying metrics are extremely weak: debt-to-equity of 236.1%, ROE of -710.6%, zero profit margin, and only $4.7M in full-year 2025 revenue. The 25.6% revenue growth is the sole bright spot, but the company remains deeply unprofitable and heavily leveraged relative to its negligible revenue base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Lucid Diagnostics has a clear mission in cancer prevention but operates with the finite-game characteristics of a micro-cap subsidiary focused on near-term Medicare coverage decisions and quarterly test volume metrics. The company's survival depends on regulatory and reimbursement milestones rather than a sustained long-term vision.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Preventing esophageal cancer deaths through early detection is a worthy cause, but Lucid articulates it primarily as a product-market opportunity rather than a transformative vision. The company's investor communications focus heavily on test volumes, Medicare coverage timelines, and revenue milestones rather than the broader mission of cancer prevention. The cause exists but doesn't shape strategic behavior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Lishan Aklog has led the company since 2021 with consistent strategic direction. As an 82-person company, the team is small enough for direct leadership engagement. No significant leadership turnover or cultural red flags were identified, though limited employee data prevents a higher assessment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Lucid Diagnostics positions EsoGuard primarily against the absence of screening (most at-risk GERD patients are unscreened) rather than against specific competitors. There is no evidence of management acknowledging rival approaches (endoscopic screening, competing biomarker tests) as motivation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Lucid Diagnostics has a single product platform (EsoGuard/EsoCheck) targeting a single indication (esophageal precancer in GERD patients). There is no evidence of strategic adaptation or business model evolution. The company is too early-stage and too focused on its initial product to have faced or passed the test of existential flexibility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that sacrifice near-term results. The company's strategy is conventional for a commercial-stage diagnostic company — expand test volumes, pursue Medicare coverage, sign VA contracts. These are prudent business decisions, not courageous ones that demonstrate infinite game thinking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Lucid Diagnostics addresses a genuine clinical need — the 9 million at-risk GERD patients who should be screened for esophageal precancer but largely are not, due to the invasiveness and cost of endoscopy. The EsoGuard test showed 95% technical success and 100% safety in a ~12,000 patient real-world study. The VA Federal Supply Schedule contract at Medicare-aligned pricing (~$1,938 per test) opens access to ~170 VA medical centers, and Medicare coverage — which the company expects in the near term — would be transformative for volumes [1][3].</w:t>
      </w:r>
    </w:p>
    <w:p>
      <w:pPr>
        <w:spacing w:after="120"/>
      </w:pPr>
      <w:r>
        <w:rPr>
          <w:rFonts w:ascii="Calibri" w:hAnsi="Calibri"/>
          <w:b w:val="0"/>
          <w:color w:val="3A4A28"/>
          <w:sz w:val="20"/>
        </w:rPr>
        <w:t>The bear case is severe: Lucid has only $4.7M in annual revenue, a $1.04 share price, debt-to-equity of 236.1%, and ROE of -710.6%. The stock fails the liquidity floor test with daily dollar volume below $1M, making institutional ownership impractical. As a subsidiary of PAVmed Inc., governance complexity adds risk. The $18M April 2026 equity offering at these prices is highly dilutive. Medicare coverage is not guaranteed, and without it, the company's path to profitability is unclear. Even with coverage, the company would need to build a substantial sales infrastructure to drive physician adoption of a relatively niche diagnostic test [1][5][6].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Medicare coverage decision for EsoGuard, which would dramatically expand the payer base and test volumes beyond the current VA and limited commercial payer coverage</w:t>
      </w:r>
    </w:p>
    <w:p>
      <w:pPr>
        <w:spacing w:before="40" w:after="40"/>
        <w:ind w:left="283"/>
      </w:pPr>
      <w:r>
        <w:rPr>
          <w:rFonts w:ascii="Calibri" w:hAnsi="Calibri"/>
          <w:b/>
          <w:color w:val="4A6B25"/>
          <w:sz w:val="20"/>
        </w:rPr>
        <w:t xml:space="preserve">2. </w:t>
      </w:r>
      <w:r>
        <w:rPr>
          <w:rFonts w:ascii="Calibri" w:hAnsi="Calibri"/>
          <w:b w:val="0"/>
          <w:color w:val="3A4A28"/>
          <w:sz w:val="20"/>
        </w:rPr>
        <w:t>VA system adoption scaling across ~170 medical centers following the Federal Supply Schedule contract award at Medicare-aligned pricing</w:t>
      </w:r>
    </w:p>
    <w:p>
      <w:pPr>
        <w:spacing w:before="40" w:after="40"/>
        <w:ind w:left="283"/>
      </w:pPr>
      <w:r>
        <w:rPr>
          <w:rFonts w:ascii="Calibri" w:hAnsi="Calibri"/>
          <w:b/>
          <w:color w:val="4A6B25"/>
          <w:sz w:val="20"/>
        </w:rPr>
        <w:t xml:space="preserve">3. </w:t>
      </w:r>
      <w:r>
        <w:rPr>
          <w:rFonts w:ascii="Calibri" w:hAnsi="Calibri"/>
          <w:b w:val="0"/>
          <w:color w:val="3A4A28"/>
          <w:sz w:val="20"/>
        </w:rPr>
        <w:t>Commercial payer expansion through newly executed participating provider agreements driving reimbursed test volume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with daily dollar volume below $1M, share price of $1.04, and potential NASDAQ minimum bid price compliance concerns</w:t>
      </w:r>
    </w:p>
    <w:p>
      <w:pPr>
        <w:spacing w:before="40" w:after="40"/>
        <w:ind w:left="283"/>
      </w:pPr>
      <w:r>
        <w:rPr>
          <w:rFonts w:ascii="Calibri" w:hAnsi="Calibri"/>
          <w:b/>
          <w:color w:val="4A6B25"/>
          <w:sz w:val="20"/>
        </w:rPr>
        <w:t xml:space="preserve">2. </w:t>
      </w:r>
      <w:r>
        <w:rPr>
          <w:rFonts w:ascii="Calibri" w:hAnsi="Calibri"/>
          <w:b w:val="0"/>
          <w:color w:val="3A4A28"/>
          <w:sz w:val="20"/>
        </w:rPr>
        <w:t>Medicare coverage denial or delay would severely constrain the company's addressable market and revenue growth trajectory</w:t>
      </w:r>
    </w:p>
    <w:p>
      <w:pPr>
        <w:spacing w:before="40" w:after="40"/>
        <w:ind w:left="283"/>
      </w:pPr>
      <w:r>
        <w:rPr>
          <w:rFonts w:ascii="Calibri" w:hAnsi="Calibri"/>
          <w:b/>
          <w:color w:val="4A6B25"/>
          <w:sz w:val="20"/>
        </w:rPr>
        <w:t xml:space="preserve">3. </w:t>
      </w:r>
      <w:r>
        <w:rPr>
          <w:rFonts w:ascii="Calibri" w:hAnsi="Calibri"/>
          <w:b w:val="0"/>
          <w:color w:val="3A4A28"/>
          <w:sz w:val="20"/>
        </w:rPr>
        <w:t>Ongoing dilution from equity offerings (latest $18M in April 2026) required to fund operations at current burn rate against only $4.7M annual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Lucid Diagnostics operates in regulated medical diagnostics with a physical sample collection device (EsoCheck) paired with a laboratory-developed DNA methylation test (EsoGuard). The business requires FDA-regulated hardware, CLIA-certified lab processing, physician relationships, and payer coverage — all structural moats against AI substitution. However, AI-powered liquid biopsy and biomarker platforms from companies like Grail and Guardant Health could develop competing non-invasive esophageal cancer screening approaches, creating moderate long-term risk to the company's specific testing methodology [2]. AI Opportunity (0/1): No evidence of AI-generated revenue or AI-powered diagnostic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Lucid Diagnostics Q4 2025 and Full Year Financial Results, March 2026</w:t>
      </w:r>
    </w:p>
    <w:p>
      <w:pPr>
        <w:spacing w:before="20" w:after="20"/>
        <w:ind w:left="170"/>
      </w:pPr>
      <w:r>
        <w:rPr>
          <w:rFonts w:ascii="Calibri" w:hAnsi="Calibri"/>
          <w:b/>
          <w:color w:val="4A6B25"/>
          <w:sz w:val="15"/>
        </w:rPr>
        <w:t xml:space="preserve">2. </w:t>
      </w:r>
      <w:r>
        <w:rPr>
          <w:rFonts w:ascii="Calibri" w:hAnsi="Calibri"/>
          <w:b w:val="0"/>
          <w:color w:val="3A4A28"/>
          <w:sz w:val="17"/>
        </w:rPr>
        <w:t>Lucid Diagnostics company website — EsoGuard and EsoCheck product information,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Lucid Diagnostics VA Federal Supply Schedule contract announcement, January 2026</w:t>
      </w:r>
    </w:p>
    <w:p>
      <w:pPr>
        <w:spacing w:before="20" w:after="20"/>
        <w:ind w:left="170"/>
      </w:pPr>
      <w:r>
        <w:rPr>
          <w:rFonts w:ascii="Calibri" w:hAnsi="Calibri"/>
          <w:b/>
          <w:color w:val="4A6B25"/>
          <w:sz w:val="15"/>
        </w:rPr>
        <w:t xml:space="preserve">4. </w:t>
      </w:r>
      <w:r>
        <w:rPr>
          <w:rFonts w:ascii="Calibri" w:hAnsi="Calibri"/>
          <w:b w:val="0"/>
          <w:color w:val="3A4A28"/>
          <w:sz w:val="17"/>
        </w:rPr>
        <w:t>Lucid Diagnostics leadership page and CEO Lishan Aklog profile,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Lucid Diagnostics $18M underwritten offering announcement, 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LUCD key statistics, accessed April 2026</w:t>
      </w:r>
    </w:p>
    <w:p>
      <w:pPr>
        <w:spacing w:before="20" w:after="20"/>
        <w:ind w:left="170"/>
      </w:pPr>
      <w:r>
        <w:rPr>
          <w:rFonts w:ascii="Calibri" w:hAnsi="Calibri"/>
          <w:b/>
          <w:color w:val="4A6B25"/>
          <w:sz w:val="15"/>
        </w:rPr>
        <w:t xml:space="preserve">7. </w:t>
      </w:r>
      <w:r>
        <w:rPr>
          <w:rFonts w:ascii="Calibri" w:hAnsi="Calibri"/>
          <w:b w:val="0"/>
          <w:color w:val="3A4A28"/>
          <w:sz w:val="17"/>
        </w:rPr>
        <w:t>Seeking Alpha — Lucid Diagnostics analysis: Green Flags, But Dilution and Friction Keep Me Neutral,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