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LUNR</w:t>
      </w:r>
      <w:r>
        <w:rPr>
          <w:rFonts w:ascii="Calibri" w:hAnsi="Calibri"/>
          <w:b/>
          <w:color w:val="1A2010"/>
          <w:sz w:val="40"/>
        </w:rPr>
        <w:t xml:space="preserve">  Intuitive Machines, Inc.</w:t>
      </w:r>
    </w:p>
    <w:p>
      <w:pPr>
        <w:spacing w:after="120"/>
      </w:pPr>
      <w:r>
        <w:rPr>
          <w:rFonts w:ascii="Calibri" w:hAnsi="Calibri"/>
          <w:b/>
          <w:color w:val="6E8450"/>
          <w:sz w:val="18"/>
        </w:rPr>
        <w:t>GROWTH SLEEVE · 2026-03-27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Intuitive Machines designs, manufactures, and operates lunar landers and space infrastructure, serving as a primary commercial lunar delivery provider for NASA under the CLPS program. The company expanded into national security space and space data services through acquisitions of KinetX Aerospace and Lanteris Space Systems in 2025.</w:t>
      </w:r>
    </w:p>
    <w:p>
      <w:r>
        <w:rPr>
          <w:rFonts w:ascii="Calibri" w:hAnsi="Calibri"/>
          <w:b/>
          <w:color w:val="6E8450"/>
          <w:sz w:val="18"/>
        </w:rPr>
        <w:t>525 Employees · https://www.intuitivemachines.com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Intuitive Machines is one of only two companies to successfully land on the lunar surface commercially, completing its second lunar mission in 2025 and securing its fifth NASA CLPS task order — a $180.4M contract for Nova-D cargo-class lander deliveries to the Lunar South Pole [1]. The company's IM-2 and upcoming IM-3 missions demonstrate genuine frontier technology capability that few competitors can match. The acquisition of KinetX Aerospace (navigation) and Lanteris Space Systems ($800M) creates an integrated space services platform spanning lunar delivery, satellite navigation, and data relay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Steve Altemus, a former NASA Johnson Space Center Deputy Director, provides credible and mission-driven leadership that attracts top aerospace talent to a 525-person company [2]. The company's role in returning America to the lunar surface carries genuine inspirational weight, and the expanding partnership with NASA and international space agencies (including Australia's space agency) elevates the company's mission beyond commercial profit. Altemus called 2025 'a transformational year,' reflecting authentic excitement about the company's trajectory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Intuitive Machines' financial infrastructure is strained — the company reported a $83.3M net loss on $210M in 2025 revenue (-39.7% profit margin), with D/E of 182.7% and deeply negative ROE of -102.9% [2]. The forward P/E of 89.4x reflects extreme growth expectations, and Q4 2025 revenue of $44.8M missed estimates of $54-55M [3]. However, the $943M combined backlog and $900M-$1B 2026 revenue guidance (driven by the Lanteris acquisition) suggest a steep growth trajectory if execution holds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Intuitive Machines demonstrates strong infinite-game qualities through its long-term commitment to building permanent lunar infrastructure and its expanding role in space exploration. CEO Altemus's NASA heritage and the company's multi-decade mission framework suggest genuine long-term thinking, though the aggressive M&amp;A pace and ambitious revenue targets introduce execution risk that could force short-term compromises.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humanity's return to and sustained presence on the Moon represents a genuinely transcendent just cause that extends beyond quarterly earnings. The company's expanding role from lunar delivery to integrated space infrastructure services positions it as a builder of civilization-scale capability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525 employees and a former NASA deputy director as CEO, Intuitive Machines maintains strong mission alignment and likely high employee engagement. The acquisition of KinetX and Lanteris will test the company's ability to integrate diverse teams while maintaining culture. The company's Houston headquarters near Johnson Space Center facilitates talent recruitment from the NASA ecosystem.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Intuitive Machines competes against SpaceX (Starship lunar variant), Astrobotic (CLPS competitor), and international players like ispace (Japan). The company differentiates through proven lunar landing success and an integrated service model, learning from SpaceX's rapid iteration approach while maintaining NASA partnership depth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pure lunar delivery to integrated space services (navigation via KinetX, data relay via Lanteris, national security space) demonstrates strategic flexibility. The $800M Lanteris acquisition and expansion into non-lunar domains show willingness to redefine the company's scope when opportunities arise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Guiding for $900M-$1B in 2026 revenue (5x growth) and targeting positive Adjusted EBITDA demonstrates bold leadership, especially given Q4 2025's revenue miss [1]. The acquisition of Lanteris and the pursuit of national security space contracts show willingness to take calculated risks to build scale and competitive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Intuitive Machines occupies a unique position as one of only two companies to commercially land on the Moon, with a $943M backlog and management guiding for $900M-$1B in 2026 revenue — a potential 5x increase driven by the transformative Lanteris acquisition [1]. The $180.4M NASA Nova-D contract (March 2026), IM-3 mission scheduled for H1 2026, and expansion into national security space provide multiple growth vectors. The company's integrated lunar services platform (delivery + navigation + data relay) creates competitive barriers that no other commercial space company outside SpaceX can match at this scale.</w:t>
      </w:r>
    </w:p>
    <w:p>
      <w:pPr>
        <w:spacing w:after="120"/>
      </w:pPr>
      <w:r>
        <w:rPr>
          <w:rFonts w:ascii="Calibri" w:hAnsi="Calibri"/>
          <w:b w:val="0"/>
          <w:color w:val="3A4A28"/>
          <w:sz w:val="20"/>
        </w:rPr>
        <w:t>The bear case centers on extreme execution risk: the 5x revenue growth guidance from $210M to $900M-$1B depends heavily on successful Lanteris integration and large contract deliveries that have not yet begun [3]. The company remains deeply unprofitable with a -39.7% profit margin and $83.3M net loss in 2025, and the forward P/E of 89.4x prices in substantial success. Q4 2025 revenue missed expectations by ~20%, D/E of 182.7% creates balance sheet fragility, and the space industry has a history of ambitious companies failing to meet revenue targets. DOGE-related government spending cuts could also impact NASA budgets and CLPS contract funding.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IM-3 lunar mission success in H1 2026, which would make Intuitive Machines the most prolific commercial lunar landing company and validate the Nova-C platform's reliability [1]</w:t>
      </w:r>
    </w:p>
    <w:p>
      <w:pPr>
        <w:spacing w:before="40" w:after="40"/>
        <w:ind w:left="283"/>
      </w:pPr>
      <w:r>
        <w:rPr>
          <w:rFonts w:ascii="Calibri" w:hAnsi="Calibri"/>
          <w:b/>
          <w:color w:val="4A6B25"/>
          <w:sz w:val="20"/>
        </w:rPr>
        <w:t xml:space="preserve">2. </w:t>
      </w:r>
      <w:r>
        <w:rPr>
          <w:rFonts w:ascii="Calibri" w:hAnsi="Calibri"/>
          <w:b w:val="0"/>
          <w:color w:val="3A4A28"/>
          <w:sz w:val="20"/>
        </w:rPr>
        <w:t>Lanteris integration driving $900M-$1B 2026 revenue target and positive Adjusted EBITDA, transforming the company from a project-based lunar delivery company to a diversified space infrastructure provider [2]</w:t>
      </w:r>
    </w:p>
    <w:p>
      <w:pPr>
        <w:spacing w:before="40" w:after="40"/>
        <w:ind w:left="283"/>
      </w:pPr>
      <w:r>
        <w:rPr>
          <w:rFonts w:ascii="Calibri" w:hAnsi="Calibri"/>
          <w:b/>
          <w:color w:val="4A6B25"/>
          <w:sz w:val="20"/>
        </w:rPr>
        <w:t xml:space="preserve">3. </w:t>
      </w:r>
      <w:r>
        <w:rPr>
          <w:rFonts w:ascii="Calibri" w:hAnsi="Calibri"/>
          <w:b w:val="0"/>
          <w:color w:val="3A4A28"/>
          <w:sz w:val="20"/>
        </w:rPr>
        <w:t>National security space contract wins leveraging KinetX navigation capabilities and Lanteris satellite infrastructure for classified government missions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5x revenue ramp — the company missed Q4 2025 revenue estimates by ~20% and must flawlessly integrate two major acquisitions while delivering complex space missions [3]</w:t>
      </w:r>
    </w:p>
    <w:p>
      <w:pPr>
        <w:spacing w:before="40" w:after="40"/>
        <w:ind w:left="283"/>
      </w:pPr>
      <w:r>
        <w:rPr>
          <w:rFonts w:ascii="Calibri" w:hAnsi="Calibri"/>
          <w:b/>
          <w:color w:val="4A6B25"/>
          <w:sz w:val="20"/>
        </w:rPr>
        <w:t xml:space="preserve">2. </w:t>
      </w:r>
      <w:r>
        <w:rPr>
          <w:rFonts w:ascii="Calibri" w:hAnsi="Calibri"/>
          <w:b w:val="0"/>
          <w:color w:val="3A4A28"/>
          <w:sz w:val="20"/>
        </w:rPr>
        <w:t>Government budget risk — NASA CLPS funding and national security space contracts are subject to congressional appropriation and potential DOGE-driven spending cuts that could delay or cancel missions</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with 182.7% D/E ratio and ongoing cash burn of $56M free cash flow usage, requiring either profitability improvement or additional dilutive financing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serves as a moderate enabler for Intuitive Machines' operations — autonomous navigation, landing systems, and mission planning all leverage AI/ML algorithms, and the KinetX Aerospace acquisition adds space navigation AI expertise [2]. The company's physical hardware moat (actual lunar landers and launch contracts) provides significant protection from AI-driven disruption, as software alone cannot replicate the capability to deliver payloads to the Moon. However, AI-enabled competitors like SpaceX have vastly greater resources for autonomous systems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Intuitive Machines — NASA $180.4M Lunar Contract Award Press Release, March 24, 2026</w:t>
      </w:r>
    </w:p>
    <w:p>
      <w:pPr>
        <w:spacing w:before="20" w:after="20"/>
        <w:ind w:left="170"/>
      </w:pPr>
      <w:r>
        <w:rPr>
          <w:rFonts w:ascii="Calibri" w:hAnsi="Calibri"/>
          <w:b/>
          <w:color w:val="4A6B25"/>
          <w:sz w:val="15"/>
        </w:rPr>
        <w:t xml:space="preserve">2. </w:t>
      </w:r>
      <w:r>
        <w:rPr>
          <w:rFonts w:ascii="Calibri" w:hAnsi="Calibri"/>
          <w:b w:val="0"/>
          <w:color w:val="3A4A28"/>
          <w:sz w:val="17"/>
        </w:rPr>
        <w:t>Intuitive Machines Fourth Quarter and Full-Year 2025 Financial Results, March 19, 2026</w:t>
      </w:r>
    </w:p>
    <w:p>
      <w:pPr>
        <w:spacing w:before="20" w:after="20"/>
        <w:ind w:left="170"/>
      </w:pPr>
      <w:r>
        <w:rPr>
          <w:rFonts w:ascii="Calibri" w:hAnsi="Calibri"/>
          <w:b/>
          <w:color w:val="4A6B25"/>
          <w:sz w:val="15"/>
        </w:rPr>
        <w:t xml:space="preserve">3. </w:t>
      </w:r>
      <w:r>
        <w:rPr>
          <w:rFonts w:ascii="Calibri" w:hAnsi="Calibri"/>
          <w:b w:val="0"/>
          <w:color w:val="3A4A28"/>
          <w:sz w:val="17"/>
        </w:rPr>
        <w:t>Sci-Tech Today — 'Intuitive Machines Q4 2025: Revenue Falls Short of $44.8 Mn Target',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LUNR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