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LUV</w:t>
      </w:r>
      <w:r>
        <w:rPr>
          <w:rFonts w:ascii="Calibri" w:hAnsi="Calibri"/>
          <w:b/>
          <w:color w:val="1A2010"/>
          <w:sz w:val="40"/>
        </w:rPr>
        <w:t xml:space="preserve">  Southwest Airlines Co.</w:t>
      </w:r>
    </w:p>
    <w:p>
      <w:pPr>
        <w:spacing w:after="120"/>
      </w:pPr>
      <w:r>
        <w:rPr>
          <w:rFonts w:ascii="Calibri" w:hAnsi="Calibri"/>
          <w:b/>
          <w:color w:val="6E8450"/>
          <w:sz w:val="18"/>
        </w:rPr>
        <w:t>GROWTH SLEEVE · 2026-03-27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Southwest Airlines is a major U.S. passenger airline operating an all-Boeing 737 fleet with a point-to-point network primarily serving domestic routes. The company is executing its most ambitious transformation in 53 years, including assigned seating, bag fees, basic economy fares, and extra legroom options, targeting over $4.3 billion in incremental EBIT.</w:t>
      </w:r>
    </w:p>
    <w:p>
      <w:r>
        <w:rPr>
          <w:rFonts w:ascii="Calibri" w:hAnsi="Calibri"/>
          <w:b/>
          <w:color w:val="6E8450"/>
          <w:sz w:val="18"/>
        </w:rPr>
        <w:t>77,397 Employees · https://www.southwest.com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Southwest is executing the most radical business model transformation in its 53-year history — introducing assigned seating, bag fees, basic economy fares, and extra legroom on retrofitted aircraft, targeting $4.3B in incremental EBIT [1]. Over 400 Boeing 737-8 and 737-800 aircraft were retrofitted for assigned seating by October 2025, with 737-700s starting January 2026. Q4 2025 EBIT reached $574M (above $500M guidance), and 2026 adjusted EPS guidance of at least $4.00 represents a 300%+ increase from 2025 levels [1]. The company earned the #1 ranking in WSJ's Best U.S. Airlines of 2025 while simultaneously transforming its product.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Bob Jordan is leading Southwest through its most significant cultural transformation since Herb Kelleher founded the airline [1]. Southwest's brand equity — built on 53 years of 'Bags Fly Free' and open seating — is being strategically evolved rather than abandoned, with free Wi-Fi for loyalty members and Rapid Rewards optimization maintaining customer connection. The company's 77,397 employees (though the first-ever management layoffs occurred in 2025) are essential to executing the cultural shift. The WSJ #1 airline ranking validates that operational excellence can coexist with transformation.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Southwest's current financial metrics reflect the pre-transformation baseline: trailing P/E of 50.0 on thin 1.6% profit margin and 4.8% ROE [4]. However, the forward P/E of 8.2 implies massive earnings improvement from the transformation. D/E of 74.9% is manageable for an airline. Revenue of $28B annual records is strong, but revenue growth of 7.4% YoY trails capacity growth. The dividend yield of 1.82% with a 91.1% payout ratio appears stretched against current earnings but sustainable against 2026 EPS guidance of $4.00+.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Southwest demonstrates a complex infinite game profile — the 53-year brand heritage and employee-centric culture reflect deep infinite thinking, but the current transformation (bag fees, assigned seating) explicitly abandons long-standing principles that defined the airline's identity, creating a tension between preserving purpose and adapting to competitive reality.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Southwest's original cause — democratizing air travel through low fares and simple, reliable service — was one of the most authentic in American business [1]. The current transformation preserves the low-fare foundation while adding revenue streams (bag fees, extra legroom) that legacy carriers have long offered. CEO Jordan's vision maintains accessibility while evolving the product, though purists argue the transformation betrays Herb Kelleher's founding principles.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Southwest's employee-centric culture has been legendary, but the first-ever management and non-contract employee layoffs in 2025 tested organizational trust at a fundamental level [1]. The 77,397-employee workforce must adapt to new processes (assigned seating, bag handling changes) while maintaining the service culture that earned WSJ's #1 ranking. The speed of transformation creates change management risk.</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Southwest explicitly learned from Delta and United's premium revenue strategies, adopting assigned seating, extra legroom, and bag fees that those carriers have successfully monetized [1]. This represents genuine competitive learning — Southwest studied what worked for rivals and is adapting those practices to its own brand context. The transformation is fundamentally an act of worthy rival acknowledgment.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Southwest's current transformation is one of the most dramatic business model pivots in airline history — abandoning 53 years of open seating, free bags, and one-class service to add premium revenue streams [1]. The willingness to cannibalize its own brand identity for long-term competitiveness demonstrates genuine existential flexibility, though the risk of alienating loyal customers during the transition is real.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Guiding at least $4.00 EPS for 2026 (300%+ above 2025) while simultaneously executing the most radical transformation in airline history requires exceptional confidence [1]. CEO Jordan's willingness to implement first-ever management layoffs and discuss future airport lounges shows he is not constrained by Southwest's 'we've always done it this way' culture. However, the 55x P/E multiple priced as a transformation story, not a proven result, raises the stakes.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Southwest Airlines offers a rare transformation-driven earnings inflection, with 2026 adjusted EPS guidance of at least $4.00 representing a 300%+ increase from 2025 levels [1]. At 8.2x forward P/E, the stock is priced below legacy carrier multiples despite projecting $1B+ incremental EBIT from assigned seating and extra legroom alone. The company earned WSJ's #1 U.S. airline ranking while retrofitting 400+ aircraft, demonstrating execution capability. Record Q4 revenue of $7.4B and full-year $28B provide scale, and the transformation's $4.3B total EBIT target (at full run rate) would make Southwest one of the most profitable U.S. airlines.</w:t>
      </w:r>
    </w:p>
    <w:p>
      <w:pPr>
        <w:spacing w:after="120"/>
      </w:pPr>
      <w:r>
        <w:rPr>
          <w:rFonts w:ascii="Calibri" w:hAnsi="Calibri"/>
          <w:b w:val="0"/>
          <w:color w:val="3A4A28"/>
          <w:sz w:val="20"/>
        </w:rPr>
        <w:t>The bear case is that Southwest's 55x trailing P/E already prices the transformation as successful, and any execution stumble could trigger severe repricing [4]. The first-ever management layoffs, brand identity disruption (ending free bags, open seating), and customer backlash risk could erode Southwest's loyalty advantage. Q4 revenue of $7.44B came in below the $7.51B estimate, and the stock has declined from $45.84 (50-day SMA) to $39.53, suggesting early skepticism. Boeing 737 MAX delivery delays could constrain fleet growth, and fuel price spikes or recession-driven demand decline would compress margins regardless of revenue initiatives. The airline industry's history of over-promising transformation returns is well-documented.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adjusted EPS guidance of at least $4.00 — management stated this represents the 'lower end of internal forecasts,' implying potential for upside surprises [1]</w:t>
      </w:r>
    </w:p>
    <w:p>
      <w:pPr>
        <w:spacing w:before="40" w:after="40"/>
        <w:ind w:left="283"/>
      </w:pPr>
      <w:r>
        <w:rPr>
          <w:rFonts w:ascii="Calibri" w:hAnsi="Calibri"/>
          <w:b/>
          <w:color w:val="4A6B25"/>
          <w:sz w:val="20"/>
        </w:rPr>
        <w:t xml:space="preserve">2. </w:t>
      </w:r>
      <w:r>
        <w:rPr>
          <w:rFonts w:ascii="Calibri" w:hAnsi="Calibri"/>
          <w:b w:val="0"/>
          <w:color w:val="3A4A28"/>
          <w:sz w:val="20"/>
        </w:rPr>
        <w:t>Assigned seating and extra legroom rollout across the fleet projected to generate $1B+ incremental EBIT in 2026 with $1.5B full run-rate [1]</w:t>
      </w:r>
    </w:p>
    <w:p>
      <w:pPr>
        <w:spacing w:before="40" w:after="40"/>
        <w:ind w:left="283"/>
      </w:pPr>
      <w:r>
        <w:rPr>
          <w:rFonts w:ascii="Calibri" w:hAnsi="Calibri"/>
          <w:b/>
          <w:color w:val="4A6B25"/>
          <w:sz w:val="20"/>
        </w:rPr>
        <w:t xml:space="preserve">3. </w:t>
      </w:r>
      <w:r>
        <w:rPr>
          <w:rFonts w:ascii="Calibri" w:hAnsi="Calibri"/>
          <w:b w:val="0"/>
          <w:color w:val="3A4A28"/>
          <w:sz w:val="20"/>
        </w:rPr>
        <w:t>Q1 2026 revenue per seat mile expected to rise 9.5% (above 8.5% consensus), validating early transformation pricing power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Brand identity risk from abandoning 53-year traditions (open seating, free bags) could erode Southwest's distinctive customer loyalty and competitive positioning [1]</w:t>
      </w:r>
    </w:p>
    <w:p>
      <w:pPr>
        <w:spacing w:before="40" w:after="40"/>
        <w:ind w:left="283"/>
      </w:pPr>
      <w:r>
        <w:rPr>
          <w:rFonts w:ascii="Calibri" w:hAnsi="Calibri"/>
          <w:b/>
          <w:color w:val="4A6B25"/>
          <w:sz w:val="20"/>
        </w:rPr>
        <w:t xml:space="preserve">2. </w:t>
      </w:r>
      <w:r>
        <w:rPr>
          <w:rFonts w:ascii="Calibri" w:hAnsi="Calibri"/>
          <w:b w:val="0"/>
          <w:color w:val="3A4A28"/>
          <w:sz w:val="20"/>
        </w:rPr>
        <w:t>Transformation execution risk — retrofitting the entire fleet while training 77,397 employees on new processes creates operational complexity during peak travel periods</w:t>
      </w:r>
    </w:p>
    <w:p>
      <w:pPr>
        <w:spacing w:before="40" w:after="40"/>
        <w:ind w:left="283"/>
      </w:pPr>
      <w:r>
        <w:rPr>
          <w:rFonts w:ascii="Calibri" w:hAnsi="Calibri"/>
          <w:b/>
          <w:color w:val="4A6B25"/>
          <w:sz w:val="20"/>
        </w:rPr>
        <w:t xml:space="preserve">3. </w:t>
      </w:r>
      <w:r>
        <w:rPr>
          <w:rFonts w:ascii="Calibri" w:hAnsi="Calibri"/>
          <w:b w:val="0"/>
          <w:color w:val="3A4A28"/>
          <w:sz w:val="20"/>
        </w:rPr>
        <w:t>Recession risk would compress travel demand and undermine the revenue-per-seat-mile improvements that drive the $4.00+ EPS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Airlines are primarily physical operations (aircraft, crew, airports) that AI cannot displace, providing structural protection [1]. AI enhances airline operations through predictive maintenance, dynamic pricing, crew scheduling, and customer service automation — Southwest's new technology deployments for operational reliability leverage these capabilities. However, AI-powered travel search and booking tools could increase price transparency and compress airline profit margins by enabling passengers to find the lowest fares more efficiently. Southwest's direct booking model (avoiding GDS fees) partially mitigates this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Southwest Airlines Q4 2025 Earnings Release and 2026 Transformation Guidance, January 2026</w:t>
      </w:r>
    </w:p>
    <w:p>
      <w:pPr>
        <w:spacing w:before="20" w:after="20"/>
        <w:ind w:left="170"/>
      </w:pPr>
      <w:r>
        <w:rPr>
          <w:rFonts w:ascii="Calibri" w:hAnsi="Calibri"/>
          <w:b/>
          <w:color w:val="4A6B25"/>
          <w:sz w:val="15"/>
        </w:rPr>
        <w:t xml:space="preserve">2. </w:t>
      </w:r>
      <w:r>
        <w:rPr>
          <w:rFonts w:ascii="Calibri" w:hAnsi="Calibri"/>
          <w:b w:val="0"/>
          <w:color w:val="3A4A28"/>
          <w:sz w:val="17"/>
        </w:rPr>
        <w:t>Southwest Airlines CEO Bob Jordan transformation commentary and WSJ ranking,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Southwest Airlines ESG and sustainability materials,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LUV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