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LVS</w:t>
      </w:r>
      <w:r>
        <w:rPr>
          <w:rFonts w:ascii="Calibri" w:hAnsi="Calibri"/>
          <w:b/>
          <w:color w:val="1A2010"/>
          <w:sz w:val="40"/>
        </w:rPr>
        <w:t xml:space="preserve">  Las Vegas Sands Corp.</w:t>
      </w:r>
    </w:p>
    <w:p>
      <w:pPr>
        <w:spacing w:after="120"/>
      </w:pPr>
      <w:r>
        <w:rPr>
          <w:rFonts w:ascii="Calibri" w:hAnsi="Calibri"/>
          <w:b/>
          <w:color w:val="6E8450"/>
          <w:sz w:val="18"/>
        </w:rPr>
        <w:t>DIVIDEND SLEEVE · 2026-03-31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NYSE · United States</w:t>
      </w:r>
    </w:p>
    <w:p>
      <w:pPr>
        <w:spacing w:after="80"/>
      </w:pPr>
      <w:r>
        <w:rPr>
          <w:rFonts w:ascii="Calibri" w:hAnsi="Calibri"/>
          <w:b w:val="0"/>
          <w:color w:val="3A4A28"/>
          <w:sz w:val="20"/>
        </w:rPr>
        <w:t>Las Vegas Sands owns, develops, and operates integrated resorts in Macao and Singapore. Properties include The Venetian Macao, The Londoner Macao, The Parisian Macao, The Plaza Macao, The Sands Macao, and Marina Bay Sands in Singapore. The company's integrated resorts feature accommodations, gaming, entertainment, retail malls, convention facilities, and celebrity chef restaurants.</w:t>
      </w:r>
    </w:p>
    <w:p>
      <w:r>
        <w:rPr>
          <w:rFonts w:ascii="Calibri" w:hAnsi="Calibri"/>
          <w:b/>
          <w:color w:val="6E8450"/>
          <w:sz w:val="18"/>
        </w:rPr>
        <w:t>41,000 Employees · https://www.sands.com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LVS has executed well on its Asia-focused integrated resort strategy, with Marina Bay Sands delivering record quarterly EBITDA of $806M at 50.3% margin [1]. However, no transformative new business model or product category has emerged — the company exited Las Vegas in 2021 and doubled down on existing Asian properties. AI Deployment (1/2): LVS deploys AI for personalized marketing, NLP-powered chatbots as 'AI concierge' for hotel check-in and room service, computer vision for casino floor surveillance, and fraud detection algorithms [2]. These are operational efficiency tools rather than revenue-generating AI products. Market Share (2/2): LVS is the dominant integrated resort operator in both Macao and Singapore, with Marina Bay Sands generating over $2B in annual property EBITDA for the first time in history [1]. Rolling chip volume in Macao accelerated 60% YoY, outpacing the market in premium segments [1]. Pipeline (0/2): No specific next-generation products or new market entries announced with timelines. The Texas casino expansion push failed legislatively. Capital is being reinvested in existing properties [1]. R&amp;D Intensity (1/1): Significant technology investment through the Resiliency Technology Summit and Macao Technological Innovation Exploration, though R&amp;D as a percentage of revenue is below tech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LVS positions itself as 'the world leader in developing and operating international, world-class integrated resorts' — clear about what it does but not aspirational beyond commercial excellence [2]. The mission describes a market position rather than a purpose-driven vision for a better future. Community Impact (1/2): LVS employs 41,000 people, hosts ESG-aligned community programs, was included in Dow Jones Sustainability World Index and Newsweek's 2025 Most Responsible Companies list, and achieved 50% emissions reduction from 2018 baseline [3]. However, the inherent social costs of gambling create tension with community benefit claims. Employee Retention (1/2): Glassdoor rating of 3.4/5 with 54% recommending to a friend is below average [2]. Employees cite 'glass ceilings,' limited promotions, and below-market pay, offset by some praising management autonomy and benefits. Insider Buying (1/2): CEO Goldstein has significant equity exposure through $21.85M total compensation (86.3% equity-based), aligning his interests with shareholders [2]. The Adelson family remains a major shareholder.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LVS delivers strong revenue growth and profitability despite an extremely leveraged balance sheet. D/E of 829% is well above the 300% floor, reflecting the capital-intensive integrated resort model and yielding a 0.0 on that metric [4]. However, ROE of 73.3% is exceptional, revenue growth of 26% YoY is strong, and the 3yr revenue CAGR of 47% reflects post-COVID recovery to $13B [1][4]. Forward P/E of 13.7x is attractive, suggesting the market is pricing in leverage risk. Profit margin of 12.5% is moderate for hospitality. Dividend resumed in 2023 after a COVID suspension, with rapid growth from $0.40/yr to $1.00/yr in 2025 (58% 2yr CAGR), though only 4 consecutive years paid since resumption [1]. Payout ratio of 42.6% is reasonable. Liquidity floor easily cleared: 5.4M avg vol x $51.62 = $279.6M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LVS under Robert Goldstein continues Sheldon Adelson's Asia-focused integrated resort vision with disciplined capital allocation, but the company plays more of a financial optimization game than a purpose-driven infinite game. The focus on EBITDA conversion and margin improvement is pragmatic execution, not transformative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LVS's purpose is to be the world's leading integrated resort developer — a market position statement rather than a Just Cause in Sinek's framework [2]. The vision of creating world-class leisure and business destinations in Asia has shaped strategy consistently since Adelson's time, including the decision to exit Las Vegas and concentrate capital in Macao/Singapore. However, it lacks the idealistic, service-oriented quality Sinek requires — it describes commercial excellence, not a future state worth sacrificing for.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LVS employs 41,000 people with a Glassdoor rating of 3.4/5, which is average for the hospitality industry [2]. Employee feedback cites positives like management autonomy and generous PTO, but significant negatives around limited career progression and below-market compensation. The leadership transition from Adelson to Goldstein was stable, with Dumont and Hyzak providing continuity. No evidence of exceptional trust or empowerment, but no major cultural red flags either.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LVS acknowledges competitive pressure from other Macao concession holders (MGM China, Wynn, Galaxy) and uses rivalry to improve its own properties — the $2B+ MBS expansion in Singapore was explicitly positioned to maintain competitive advantage as rivals enter the market [1]. Management's open acknowledgment that Macao EBITDA margins were 'disappointing' at 28.9% shows competitive awareness rather than complacency [1].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LVS made one significant strategic pivot — selling the Venetian Las Vegas and exiting the U.S. market entirely in 2021 to concentrate capital in Asia, a bold move that reshuffled the company's geographic footprint [1]. However, the core business model has remained unchanged since inception: build and operate integrated resorts. The company has not reinvented itself in the way Sinek's framework demands — it optimized, not transformed.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Goldstein demonstrated courage by continuing the aggressive Asia investment strategy during COVID uncertainty, including maintaining property investments when revenue was near zero (2020-2022) [1]. The $2B+ MBS expansion and continued Macao reinvestment despite regulatory uncertainty show willingness to invest through adversity. However, the company's aggressive Texas lobbying ($13.2M in PAC contributions) reflects a finite-game approach to market expansion through political influence rather than organic excellence [3].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Las Vegas Sands is the world's leading integrated resort operator with a concentrated, high-quality portfolio generating $13B in annual revenue and ~$2.9B in company-wide EBITDA [1]. Marina Bay Sands delivered record quarterly EBITDA of $806M at 50.3% margin, with annual property EBITDA exceeding $2B for the first time [1]. At 13.7x forward P/E, LVS trades at a significant discount to its 5-year average, reflecting China/Macao uncertainty. Revenue growth of 26% YoY with earnings growth of 29.3% demonstrates improving profitability. The dividend, reinstated in 2023, is growing rapidly (58% 2yr CAGR) with a manageable 42.6% payout ratio, and management has guided toward continued EBITDA optimization in 2026 [1].</w:t>
      </w:r>
    </w:p>
    <w:p>
      <w:pPr>
        <w:spacing w:after="120"/>
      </w:pPr>
      <w:r>
        <w:rPr>
          <w:rFonts w:ascii="Calibri" w:hAnsi="Calibri"/>
          <w:b w:val="0"/>
          <w:color w:val="3A4A28"/>
          <w:sz w:val="20"/>
        </w:rPr>
        <w:t>The bear case is dominated by geographic concentration and leverage risk. D/E of 829% reflects the capital-intensive resort model and creates vulnerability to interest rate increases and refinancing risk. Macao EBITDA margins fell 390bps YoY to 28.9% in Q4 2025, which management described as 'disappointing,' and base mass spend per visitor remains below pre-COVID levels [1]. China economic slowdown and potential U.S.-China tensions could materially impact Macao visitation (2019 levels not fully recovered). The $9M FCPA penalty for improper payments to an Asian consultant highlighted governance risks in the company's operating jurisdictions [3]. The Adelson family's political activities — including $100M+ in political donations — create reputational risk. Revenue is 100% international (Macao + Singapore), exposing LVS to currency fluctuation and regulatory changes in both jurisdictions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Macao EBITDA margin recovery toward 35%+ as management focuses on converting revenue gains into profitability, with rolling chip volume up 60% YoY indicating strong premium demand [1]</w:t>
      </w:r>
    </w:p>
    <w:p>
      <w:pPr>
        <w:spacing w:before="40" w:after="40"/>
        <w:ind w:left="283"/>
      </w:pPr>
      <w:r>
        <w:rPr>
          <w:rFonts w:ascii="Calibri" w:hAnsi="Calibri"/>
          <w:b/>
          <w:color w:val="4A6B25"/>
          <w:sz w:val="20"/>
        </w:rPr>
        <w:t xml:space="preserve">2. </w:t>
      </w:r>
      <w:r>
        <w:rPr>
          <w:rFonts w:ascii="Calibri" w:hAnsi="Calibri"/>
          <w:b w:val="0"/>
          <w:color w:val="3A4A28"/>
          <w:sz w:val="20"/>
        </w:rPr>
        <w:t>Marina Bay Sands $2B+ expansion completing, adding capacity to a property already generating record $806M quarterly EBITDA at 50.3% margin [1]</w:t>
      </w:r>
    </w:p>
    <w:p>
      <w:pPr>
        <w:spacing w:before="40" w:after="40"/>
        <w:ind w:left="283"/>
      </w:pPr>
      <w:r>
        <w:rPr>
          <w:rFonts w:ascii="Calibri" w:hAnsi="Calibri"/>
          <w:b/>
          <w:color w:val="4A6B25"/>
          <w:sz w:val="20"/>
        </w:rPr>
        <w:t xml:space="preserve">3. </w:t>
      </w:r>
      <w:r>
        <w:rPr>
          <w:rFonts w:ascii="Calibri" w:hAnsi="Calibri"/>
          <w:b w:val="0"/>
          <w:color w:val="3A4A28"/>
          <w:sz w:val="20"/>
        </w:rPr>
        <w:t>Macau gaming revenue growing 4.5% in February 2026, with continued China travel recovery and premium segment strength supporting 2026 EBITDA growth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829%) creates significant refinancing risk and interest rate sensitivity, with the capital-intensive resort model requiring continuous reinvestment [4]</w:t>
      </w:r>
    </w:p>
    <w:p>
      <w:pPr>
        <w:spacing w:before="40" w:after="40"/>
        <w:ind w:left="283"/>
      </w:pPr>
      <w:r>
        <w:rPr>
          <w:rFonts w:ascii="Calibri" w:hAnsi="Calibri"/>
          <w:b/>
          <w:color w:val="4A6B25"/>
          <w:sz w:val="20"/>
        </w:rPr>
        <w:t xml:space="preserve">2. </w:t>
      </w:r>
      <w:r>
        <w:rPr>
          <w:rFonts w:ascii="Calibri" w:hAnsi="Calibri"/>
          <w:b w:val="0"/>
          <w:color w:val="3A4A28"/>
          <w:sz w:val="20"/>
        </w:rPr>
        <w:t>China/Macao regulatory and economic risk — base mass spend per visitor below pre-COVID levels, potential gaming tax changes, and U.S.-China geopolitical tensions could disrupt the 65%+ revenue contribution from Macao [1]</w:t>
      </w:r>
    </w:p>
    <w:p>
      <w:pPr>
        <w:spacing w:before="40" w:after="40"/>
        <w:ind w:left="283"/>
      </w:pPr>
      <w:r>
        <w:rPr>
          <w:rFonts w:ascii="Calibri" w:hAnsi="Calibri"/>
          <w:b/>
          <w:color w:val="4A6B25"/>
          <w:sz w:val="20"/>
        </w:rPr>
        <w:t xml:space="preserve">3. </w:t>
      </w:r>
      <w:r>
        <w:rPr>
          <w:rFonts w:ascii="Calibri" w:hAnsi="Calibri"/>
          <w:b w:val="0"/>
          <w:color w:val="3A4A28"/>
          <w:sz w:val="20"/>
        </w:rPr>
        <w:t>Governance concerns from FCPA violation history ($9M SEC penalty for $62M in improper Asian consultant payments) and aggressive political lobbying ($13.2M Texas PAC spending), creating ongoing regulatory scrutiny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LVS's integrated resort business is fundamentally physical-world operations — gaming floors, hotel rooms, convention centers, restaurants, and entertainment venues that AI cannot replicate or substitute [1]. The customer experience is inherently experiential and in-person, requiring massive physical infrastructure ($2B+ MBS expansion) that creates structural barriers to AI disruption. Online gaming represents a theoretical threat, but LVS's properties cater to premium/VIP segments where the physical experience IS the product. Regulatory moats in both Macao and Singapore further protect the business — gaming concessions are government-granted and limited in number. Analysts do not flag AI as a meaningful risk to LVS's business model. AI Opportunity (1/1): LVS generates measurable value from AI through personalized marketing, AI concierge services, predictive maintenance, fraud detection, and computer vision surveillance across its properties, directly improving operational efficiency and customer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Las Vegas Sands Q2 2025 and Q4 2025 earnings reports — $13B trailing revenue, MBS record $806M EBITDA, Macao margin discussion, 2026 guidance</w:t>
      </w:r>
    </w:p>
    <w:p>
      <w:pPr>
        <w:spacing w:before="20" w:after="20"/>
        <w:ind w:left="170"/>
      </w:pPr>
      <w:r>
        <w:rPr>
          <w:rFonts w:ascii="Calibri" w:hAnsi="Calibri"/>
          <w:b/>
          <w:color w:val="4A6B25"/>
          <w:sz w:val="15"/>
        </w:rPr>
        <w:t xml:space="preserve">2. </w:t>
      </w:r>
      <w:r>
        <w:rPr>
          <w:rFonts w:ascii="Calibri" w:hAnsi="Calibri"/>
          <w:b w:val="0"/>
          <w:color w:val="3A4A28"/>
          <w:sz w:val="17"/>
        </w:rPr>
        <w:t>Comparably, Glassdoor, AI Business — LVS CEO Goldstein profile, Glassdoor 3.4/5 rating, AI concierge and innovation initiatives</w:t>
      </w:r>
    </w:p>
    <w:p>
      <w:pPr>
        <w:spacing w:before="20" w:after="20"/>
        <w:ind w:left="170"/>
      </w:pPr>
      <w:r>
        <w:rPr>
          <w:rFonts w:ascii="Calibri" w:hAnsi="Calibri"/>
          <w:b/>
          <w:color w:val="4A6B25"/>
          <w:sz w:val="15"/>
        </w:rPr>
        <w:t xml:space="preserve">3. </w:t>
      </w:r>
      <w:r>
        <w:rPr>
          <w:rFonts w:ascii="Calibri" w:hAnsi="Calibri"/>
          <w:b w:val="0"/>
          <w:color w:val="3A4A28"/>
          <w:sz w:val="17"/>
        </w:rPr>
        <w:t>SEC.gov FCPA penalty, Texas Tribune — Texas casino lobbying, LVS 2024 ESG Report, Dow Jones Sustainability Index inclusion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LVS,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