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LW</w:t>
      </w:r>
      <w:r>
        <w:rPr>
          <w:rFonts w:ascii="Calibri" w:hAnsi="Calibri"/>
          <w:b/>
          <w:color w:val="1A2010"/>
          <w:sz w:val="40"/>
        </w:rPr>
        <w:t xml:space="preserve">  Lamb Weston Holdings, Inc.</w:t>
      </w:r>
    </w:p>
    <w:p>
      <w:pPr>
        <w:spacing w:after="120"/>
      </w:pPr>
      <w:r>
        <w:rPr>
          <w:rFonts w:ascii="Calibri" w:hAnsi="Calibri"/>
          <w:b/>
          <w:color w:val="6E8450"/>
          <w:sz w:val="18"/>
        </w:rPr>
        <w:t>DIVIDEND SLEEVE · 2026-04-02 · Inspire: 47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Packaged Foods · NYSE · United States</w:t>
      </w:r>
    </w:p>
    <w:p>
      <w:pPr>
        <w:spacing w:after="80"/>
      </w:pPr>
      <w:r>
        <w:rPr>
          <w:rFonts w:ascii="Calibri" w:hAnsi="Calibri"/>
          <w:b w:val="0"/>
          <w:color w:val="3A4A28"/>
          <w:sz w:val="20"/>
        </w:rPr>
        <w:t>Lamb Weston is North America's largest and the world's second-largest producer of frozen potato products by volume and value. The company produces branded (Grown in Idaho, Alexia) and private-label frozen french fries, hash browns, and specialty potato products for quick-service restaurants, foodservice distributors, and retail channels globally. Spun off from ConAgra in 2016 and headquartered in Eagle, Idaho.</w:t>
      </w:r>
    </w:p>
    <w:p>
      <w:r>
        <w:rPr>
          <w:rFonts w:ascii="Calibri" w:hAnsi="Calibri"/>
          <w:b/>
          <w:color w:val="6E8450"/>
          <w:sz w:val="18"/>
        </w:rPr>
        <w:t>10,100 Employees · https://www.lambweston.com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Lamb Weston's recent track record is marred by a failed ERP implementation in fiscal 2024 that caused an estimated $135M in lost sales and a $330M revenue guidance cut [2]. The stock has declined 55% over two years, and nearly $2B in capacity expansion capex between 2020-2024 resulted in excess capacity that compressed margins [2]. AI Deployment (1/2): The company uses AI for supply chain predictive analytics, computer vision quality control, and robotic process automation on production lines, though these are operational efficiency tools rather than customer-facing AI products [2]. Market Share (2/2): Lamb Weston holds the #1 position in North America and #2 globally in frozen potato products, with Q3 FY2026 North America volume growing an impressive 12% YoY, indicating active share gains [1]. Pipeline (1/2): $100M cost savings program on track for FY2026 with a $250M target by 2028, and brand repositioning efforts underway, but no transformative new product categories [1]. R&amp;D Intensity (0/1): Food processing R&amp;D spend is below average; innovation is incremental product line extensions rather than technology-driven differentiation.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Lamb Weston's stated purpose is generic — focused on being a leading supplier of frozen potato products with a commitment to quality and sustainability. This is interchangeable with any food processing peer and does not articulate a deeper purpose beyond operational excellence. Community Impact (0/2): The company's community record is actively negative — the Hermiston, Oregon facility dumped 220+ tons of excess nitrogen above a contaminated aquifer affecting 12,000 residents, received $270K+ in fines across multiple violations, and operated on an expired wastewater permit since 2009 [3]. No distinctive charitable programs offset this record. Employee Retention (0/2): Glassdoor rating of 3.3/5 with only 45% of employees recommending the company and just 34% having a positive business outlook [2]. Reviews cite 'extreme favoritism,' lack of professional development, and layoff-related job insecurity. Insider Buying (0/2): No evidence of meaningful net insider buying; new CEO Mike Smith (appointed January 2025) and Executive Chair Jan Craps (joined February 2026) have not demonstrated open-market conviction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Lamb Weston's financial profile shows strength in valuation and dividend consistency despite elevated leverage. Forward P/E of 12.6x is attractive for a consumer staple, and ROE of 17.4% exceeds the 15% target [4]. D/E of 218.5% is concerning with $4.0B total debt against only $57.5M cash, reflecting the aggressive capex cycle [4]. Revenue grew 2.9% YoY with 5yr CAGR of approximately 11.3% driven by post-pandemic pricing and capacity expansion [1]. Profit margin of 4.6% is thin, reflecting margin compression from cost inflation, production curtailments, and the failed ERP implementation [1]. The dividend profile is solid: 3.95% yield, ~9 consecutive years paid since the 2016 spinoff, and strong 5yr dividend growth CAGR of approximately 9.6% [4]. Liquidity floor cleared: 3.3M avg volume × $38.48 = $127M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Lamb Weston exhibits a predominantly finite mindset — the company optimizes for quarterly results, recently replaced its CEO amid operational failures, and shows no evidence of a purpose beyond efficient frozen potato production. The failed ERP implementation, excess capacity overshoot, and 55% stock decline reflect reactive decision-making rather than long-term strategic thinking. The low Glassdoor scores and recent layoffs suggest internal trust deficits.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Lamb Weston has no articulated Just Cause beyond being a leading frozen potato supplier. The company exists to make and sell french fries efficiently — a perfectly valid business but not a vision of a better future that inspires sacrifice or endures beyond any product or leader. Sinek would classify this as a finite player with no cause worth advancing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Glassdoor's 3.3/5 rating with 45% recommendation and 34% positive outlook signals an organization with significant trust deficits [2]. Reviews describe 'extreme favoritism' and management that fails to develop talent. Recent layoffs and CEO turnover (Tom Werner replaced by Mike Smith in January 2025, plus new Executive Chair Jan Craps in February 2026) create organizational instability. However, the company remains a stable employer with 10,100 employees and adequate benefits.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that Lamb Weston frames competition in infinite terms. The company's competitive language focuses on market share leadership (#1 in North America) rather than learning from rivals like McCain Foods or Simplot. The price-fixing class action lawsuit filed in November 2024 suggests the opposite of worthy rival thinking — alleged collusion to maintain pricing rather than competing on value [3].</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Lamb Weston has remained rigidly focused on frozen potato products since its 2016 spinoff from ConAgra. The company has not diversified beyond its core category or made any strategic pivots. The $2B capacity expansion was a bet on more of the same, not a reimagining of the business. When the market shifted (GLP-1 drugs, restaurant traffic softening), the company had no alternative growth engine to absorb the blow [1][2].</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courageous leadership decisions. The company overbuilt capacity during a demand boom, failed to properly execute an ERP implementation, and has cut guidance multiple times [2]. Cost savings of $100M in FY2026 are defensive efficiency measures, not courageous long-term investments. The CEO transition suggests the board recognized leadership gaps but the replacement has yet to demonstrate a distinct strategic vision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Lamb Weston trades at a deeply discounted 12.6x forward P/E after a 55% decline over two years, offering an attractive entry point for a business that dominates frozen potato production globally (#1 NA, #2 world) [1][4]. Q3 FY2026 showed encouraging signs: North America volume surged 12% YoY, EPS of $0.72 beat estimates by $0.09, and management raised the FY2026 revenue guidance floor to $6.45B [1]. The $100M cost savings program is on track, the 3.95% dividend yield provides income support, and new leadership (CEO Mike Smith, Executive Chair Jan Craps from AB InBev) brings fresh operational perspective [2]. Free cash flow of $662M supports the dividend, and reduced capex guidance (~$400M vs. ~$500M) improves FCF trajectory.</w:t>
      </w:r>
    </w:p>
    <w:p>
      <w:pPr>
        <w:spacing w:after="120"/>
      </w:pPr>
      <w:r>
        <w:rPr>
          <w:rFonts w:ascii="Calibri" w:hAnsi="Calibri"/>
          <w:b w:val="0"/>
          <w:color w:val="3A4A28"/>
          <w:sz w:val="20"/>
        </w:rPr>
        <w:t>The bear case is formidable. Adjusted EBITDA declined 27.1% YoY in Q3 FY2026 and international EBITDA collapsed 80.3% as competitive intensity and softer consumer demand crushed pricing [1]. Profit margin of 4.6% is dangerously thin for a capital-intensive manufacturer with $4.0B in debt and only $57.5M cash [4]. D/E of 218.5% creates financial fragility if the demand downturn persists. The GLP-1 drug threat to french fry consumption is structural — Ozempic and similar drugs reduce appetite for calorie-dense foods, and the restaurant traffic softness this enables may not reverse [2]. The payout ratio of 70% on depressed earnings leaves little margin for dividend safety if profits contract further. Environmental liabilities at the Hermiston facility and a price-fixing class action lawsuit add legal overhang [3]. Excess capacity from the $2B expansion cycle will take years to absorb.</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North America volume recovery — Q3 FY2026 showed 12% YoY volume growth, suggesting market share gains that could restore pricing power as excess industry capacity is absorbed [1]</w:t>
      </w:r>
    </w:p>
    <w:p>
      <w:pPr>
        <w:spacing w:before="40" w:after="40"/>
        <w:ind w:left="283"/>
      </w:pPr>
      <w:r>
        <w:rPr>
          <w:rFonts w:ascii="Calibri" w:hAnsi="Calibri"/>
          <w:b/>
          <w:color w:val="4A6B25"/>
          <w:sz w:val="20"/>
        </w:rPr>
        <w:t xml:space="preserve">2. </w:t>
      </w:r>
      <w:r>
        <w:rPr>
          <w:rFonts w:ascii="Calibri" w:hAnsi="Calibri"/>
          <w:b w:val="0"/>
          <w:color w:val="3A4A28"/>
          <w:sz w:val="20"/>
        </w:rPr>
        <w:t>Cost savings program delivering $100M in FY2026 toward $250M target by 2028, providing margin expansion pathway even in a soft demand environment [1]</w:t>
      </w:r>
    </w:p>
    <w:p>
      <w:pPr>
        <w:spacing w:before="40" w:after="40"/>
        <w:ind w:left="283"/>
      </w:pPr>
      <w:r>
        <w:rPr>
          <w:rFonts w:ascii="Calibri" w:hAnsi="Calibri"/>
          <w:b/>
          <w:color w:val="4A6B25"/>
          <w:sz w:val="20"/>
        </w:rPr>
        <w:t xml:space="preserve">3. </w:t>
      </w:r>
      <w:r>
        <w:rPr>
          <w:rFonts w:ascii="Calibri" w:hAnsi="Calibri"/>
          <w:b w:val="0"/>
          <w:color w:val="3A4A28"/>
          <w:sz w:val="20"/>
        </w:rPr>
        <w:t>New leadership team (CEO Mike Smith, Executive Chair Jan Craps) bringing operational discipline and international expertise from AB InBev to stabilize the business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GLP-1 weight loss drug adoption structurally reducing demand for calorie-dense frozen potato products, compressing restaurant traffic and consumer volumes over time [2]</w:t>
      </w:r>
    </w:p>
    <w:p>
      <w:pPr>
        <w:spacing w:before="40" w:after="40"/>
        <w:ind w:left="283"/>
      </w:pPr>
      <w:r>
        <w:rPr>
          <w:rFonts w:ascii="Calibri" w:hAnsi="Calibri"/>
          <w:b/>
          <w:color w:val="4A6B25"/>
          <w:sz w:val="20"/>
        </w:rPr>
        <w:t xml:space="preserve">2. </w:t>
      </w:r>
      <w:r>
        <w:rPr>
          <w:rFonts w:ascii="Calibri" w:hAnsi="Calibri"/>
          <w:b w:val="0"/>
          <w:color w:val="3A4A28"/>
          <w:sz w:val="20"/>
        </w:rPr>
        <w:t>International segment deterioration — EBITDA collapsed 80.3% in Q3 FY2026 from competitive intensity and consumer softness, with no clear path to recovery [1]</w:t>
      </w:r>
    </w:p>
    <w:p>
      <w:pPr>
        <w:spacing w:before="40" w:after="40"/>
        <w:ind w:left="283"/>
      </w:pPr>
      <w:r>
        <w:rPr>
          <w:rFonts w:ascii="Calibri" w:hAnsi="Calibri"/>
          <w:b/>
          <w:color w:val="4A6B25"/>
          <w:sz w:val="20"/>
        </w:rPr>
        <w:t xml:space="preserve">3. </w:t>
      </w:r>
      <w:r>
        <w:rPr>
          <w:rFonts w:ascii="Calibri" w:hAnsi="Calibri"/>
          <w:b w:val="0"/>
          <w:color w:val="3A4A28"/>
          <w:sz w:val="20"/>
        </w:rPr>
        <w:t>Balance sheet fragility — $4.0B debt against $57.5M cash with D/E of 218.5%, leaving minimal margin for error if profit margins compress further below the current 4.6%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Lamb Weston's core business — growing, processing, and distributing physical frozen potato products — is structurally immune to AI disruption. No AI tool can substitute for the physical infrastructure of potato processing plants, cold chain logistics, or agricultural supply relationships [2]. The business involves physical-world operations (farming, manufacturing, refrigerated distribution) that AI cannot displace. If anything, AI-driven precision agriculture and supply chain optimization could reduce input costs and improve yields for potato growers, benefiting Lamb Weston's raw material sourcing. AI Opportunity (0/1): While Lamb Weston uses AI internally for supply chain optimization and quality control, these are cost-saving tools, not revenue-generating AI products. The company does not generate quantifiable AI-related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Lamb Weston Q3 FY2026 Earnings Release — EPS $0.72 (beat $0.63), revenue $1.56B, NA volume +12%, EBITDA -27.1% YoY, April 1, 2026</w:t>
      </w:r>
    </w:p>
    <w:p>
      <w:pPr>
        <w:spacing w:before="20" w:after="20"/>
        <w:ind w:left="170"/>
      </w:pPr>
      <w:r>
        <w:rPr>
          <w:rFonts w:ascii="Calibri" w:hAnsi="Calibri"/>
          <w:b/>
          <w:color w:val="4A6B25"/>
          <w:sz w:val="15"/>
        </w:rPr>
        <w:t xml:space="preserve">2. </w:t>
      </w:r>
      <w:r>
        <w:rPr>
          <w:rFonts w:ascii="Calibri" w:hAnsi="Calibri"/>
          <w:b w:val="0"/>
          <w:color w:val="3A4A28"/>
          <w:sz w:val="17"/>
        </w:rPr>
        <w:t>Lamb Weston Q2 FY2026 Earnings, Glassdoor reviews, PitchGrade AI use cases, Jim Cramer/Simply Wall St analysis, December 2025-March 2026</w:t>
      </w:r>
    </w:p>
    <w:p>
      <w:pPr>
        <w:spacing w:before="20" w:after="20"/>
        <w:ind w:left="170"/>
      </w:pPr>
      <w:r>
        <w:rPr>
          <w:rFonts w:ascii="Calibri" w:hAnsi="Calibri"/>
          <w:b/>
          <w:color w:val="4A6B25"/>
          <w:sz w:val="15"/>
        </w:rPr>
        <w:t xml:space="preserve">3. </w:t>
      </w:r>
      <w:r>
        <w:rPr>
          <w:rFonts w:ascii="Calibri" w:hAnsi="Calibri"/>
          <w:b w:val="0"/>
          <w:color w:val="3A4A28"/>
          <w:sz w:val="17"/>
        </w:rPr>
        <w:t>OPB, Oregon Capital Chronicle — Hermiston wastewater violations, $270K+ fines, price-fixing class action, 2019-2024</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LW (Lamb Weston), retrieved April 2,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