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LXEH</w:t>
      </w:r>
      <w:r>
        <w:rPr>
          <w:rFonts w:ascii="Calibri" w:hAnsi="Calibri"/>
          <w:b/>
          <w:color w:val="1A2010"/>
          <w:sz w:val="40"/>
        </w:rPr>
        <w:t xml:space="preserve">  Lixiang Education Holding Co., Ltd.</w:t>
      </w:r>
    </w:p>
    <w:p>
      <w:pPr>
        <w:spacing w:after="120"/>
      </w:pPr>
      <w:r>
        <w:rPr>
          <w:rFonts w:ascii="Calibri" w:hAnsi="Calibri"/>
          <w:b/>
          <w:color w:val="6E8450"/>
          <w:sz w:val="18"/>
        </w:rPr>
        <w:t>GROWTH SLEEVE · 2026-04-30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NASDAQ · China</w:t>
      </w:r>
    </w:p>
    <w:p>
      <w:pPr>
        <w:spacing w:after="80"/>
      </w:pPr>
      <w:r>
        <w:rPr>
          <w:rFonts w:ascii="Calibri" w:hAnsi="Calibri"/>
          <w:b w:val="0"/>
          <w:color w:val="3A4A28"/>
          <w:sz w:val="20"/>
        </w:rPr>
        <w:t>Lixiang Education Holding Co., Ltd. provides high school and vocational education services in China through Qingtian International School, Lishui International School, Beijing Xinxiang, Langfang School, and Hainan Jiangcai. The company focuses on preparing students for college entrance and vocational careers.</w:t>
      </w:r>
    </w:p>
    <w:p>
      <w:r>
        <w:rPr>
          <w:rFonts w:ascii="Calibri" w:hAnsi="Calibri"/>
          <w:b/>
          <w:color w:val="6E8450"/>
          <w:sz w:val="18"/>
        </w:rPr>
        <w:t>300 Employees · https://www.lxehedu.com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Lixiang Education shows minimal innovation capacity. The company operates traditional K-12 and vocational schools in China with no meaningful product launches or business model transformations in the last five years [1]. There is no evidence of AI deployment, no market share leadership in any education category, no discernible product pipeline, and R&amp;D spending is negligible for a company generating only RMB 15.4 million ($2.1M) in first-half 2025 revenue [1]. The expansion into vocational education represents an incremental adjacency rather than genuine innovation, earning 1 point on the Innovation Track Record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Lixiang Education's stated mission focuses on 'providing high-quality education and fostering a supportive environment to prepare students for success in a globalized world' — a clear but generic mission that earns a floor of 2 [2]. No evidence of meaningful community or charitable impact programs was found. No employee retention data is publicly available for this micro-cap Chinese education company. No insider buying data is available through standard U.S. reporting channels. The mission floor of 2 plus 1 point for the education-aligned purpose yields a total of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167,617 shares × $0.98 stock price = $164,264 daily dollar volume, far below the $1,000,000 minimum threshold [3]. The stock is also at risk of NASDAQ delisting for non-compliance with the $1.00 minimum bid price rule, with a May 18, 2026 deadline [1]. Even without the liquidity floor, fundamentals are dire: -97.8% profit margin, -14.8% ROE, and a $1.9M market cap with persistent net losses of RMB 16.1M ($2.2M) against RMB 15.4M ($2.1M) revenue in H1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Lixiang Education operates as a survival-mode micro-cap with no visible Just Cause beyond institutional perpetuation. The company's primary strategic concern is maintaining NASDAQ listing compliance rather than advancing an enduring educational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purpose of providing quality education is inherently cause-oriented, earning 1 point. However, there is no evidence that this cause drives strategic decisions — the focus is on NASDAQ compliance, CFO hiring for internal controls, and basic financial survival [1]. A Just Cause must inspire sacrifice and shape strategy; Lixiang's cause reads as a generic sector descriptor rather than a galvanizing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public data on employee culture, turnover, or organizational trust is available for this micro-cap Chinese education company [2]. The company operates approximately 300 employees across five schools. The lack of transparency into workforce dynamics and the company's financial distress — net losses exceeding revenue — suggest an environment of uncertainty rather than trust. Score: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or learning from competitors. Lixiang competes with numerous private and public education providers in China's fragmented education market, but earnings calls and public disclosures show no competitive intelligence or rival-learning language [1]. Score: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expansion from traditional high school education into vocational education represents some strategic flexibility, and the geographic expansion to multiple school locations (Qingtian, Lishui, Beijing, Langfang, Hainan) shows willingness to adapt [2]. However, these are incremental moves within the same sector, not transformative pivots. Score: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list on NASDAQ and expand into vocational education during a period of Chinese regulatory crackdowns on private education (2021 double-reduction policy) required some courage [2]. However, financial results suggest the expansion has not been successful, with persistent losses and a collapsing share price from IPO highs. Score: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Lixiang Education is a micro-cap Chinese education company trading at $0.98 with a $1.9M market cap, operating five schools across China's high school and vocational education segments [1]. The education sector provides some defensive characteristics, and the company showed marginal revenue growth of 0.3% YoY. The expansion into vocational education aligns with Chinese government policy prioritizing vocational training.</w:t>
      </w:r>
    </w:p>
    <w:p>
      <w:pPr>
        <w:spacing w:after="120"/>
      </w:pPr>
      <w:r>
        <w:rPr>
          <w:rFonts w:ascii="Calibri" w:hAnsi="Calibri"/>
          <w:b w:val="0"/>
          <w:color w:val="3A4A28"/>
          <w:sz w:val="20"/>
        </w:rPr>
        <w:t>The bear case is overwhelming: the company is losing more money than it earns (net loss of RMB 16.1M vs. RMB 15.4M revenue in H1 2025), faces imminent NASDAQ delisting risk with a May 18, 2026 compliance deadline for the $1.00 minimum bid price, and daily dollar volume of ~$164K makes the stock essentially untradeable for institutional investors [1][3]. D/E of 49% is manageable, but the -97.8% profit margin and -14.8% ROE indicate a business model that is not generating economic value. This is a speculative micro-cap with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regain of NASDAQ minimum bid price compliance by May 18, 2026 through share price recovery or reverse stock split [1]</w:t>
      </w:r>
    </w:p>
    <w:p>
      <w:pPr>
        <w:spacing w:before="40" w:after="40"/>
        <w:ind w:left="283"/>
      </w:pPr>
      <w:r>
        <w:rPr>
          <w:rFonts w:ascii="Calibri" w:hAnsi="Calibri"/>
          <w:b/>
          <w:color w:val="4A6B25"/>
          <w:sz w:val="20"/>
        </w:rPr>
        <w:t xml:space="preserve">2. </w:t>
      </w:r>
      <w:r>
        <w:rPr>
          <w:rFonts w:ascii="Calibri" w:hAnsi="Calibri"/>
          <w:b w:val="0"/>
          <w:color w:val="3A4A28"/>
          <w:sz w:val="20"/>
        </w:rPr>
        <w:t>Vocational education enrollment growth driven by Chinese government policy supporting vocational training over traditional academic pathways</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or acquisition by a larger Chinese education platform seeking licensed school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for non-compliance with $1.00 minimum bid price rule — deadline May 18, 2026 — would eliminate U.S. investor access and likely trigger further share price collapse [1]</w:t>
      </w:r>
    </w:p>
    <w:p>
      <w:pPr>
        <w:spacing w:before="40" w:after="40"/>
        <w:ind w:left="283"/>
      </w:pPr>
      <w:r>
        <w:rPr>
          <w:rFonts w:ascii="Calibri" w:hAnsi="Calibri"/>
          <w:b/>
          <w:color w:val="4A6B25"/>
          <w:sz w:val="20"/>
        </w:rPr>
        <w:t xml:space="preserve">2. </w:t>
      </w:r>
      <w:r>
        <w:rPr>
          <w:rFonts w:ascii="Calibri" w:hAnsi="Calibri"/>
          <w:b w:val="0"/>
          <w:color w:val="3A4A28"/>
          <w:sz w:val="20"/>
        </w:rPr>
        <w:t>Persistent operating losses with net loss exceeding revenue indicate a structurally unprofitable business model that may require dilutive capital raises to continue operations [1]</w:t>
      </w:r>
    </w:p>
    <w:p>
      <w:pPr>
        <w:spacing w:before="40" w:after="40"/>
        <w:ind w:left="283"/>
      </w:pPr>
      <w:r>
        <w:rPr>
          <w:rFonts w:ascii="Calibri" w:hAnsi="Calibri"/>
          <w:b/>
          <w:color w:val="4A6B25"/>
          <w:sz w:val="20"/>
        </w:rPr>
        <w:t xml:space="preserve">3. </w:t>
      </w:r>
      <w:r>
        <w:rPr>
          <w:rFonts w:ascii="Calibri" w:hAnsi="Calibri"/>
          <w:b w:val="0"/>
          <w:color w:val="3A4A28"/>
          <w:sz w:val="20"/>
        </w:rPr>
        <w:t>Chinese regulatory environment remains hostile to private education providers following the 2021 double-reduction policy, limiting growth and pricing power in core K-12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Physical-campus education in China has moderate AI protection — classroom instruction, student supervision, and credentialed diploma programs require human teachers and licensed facilities that AI cannot fully replace [2]. However, AI tutoring platforms (Squirrel AI, Zhangmen) and online education competitors pose meaningful substitution risk for the supplementary and vocational education segments Lixiang operates in. No evidence of AI revenue generation or meaningful AI adoption within Lixiang's operations. Score: 6 points for AI Risk Protection (PROTECTED but with exposure in vocational segments), 0 for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Lixiang Education H1 2025 Financial Results and NASDAQ Compliance Notice, 2025</w:t>
      </w:r>
    </w:p>
    <w:p>
      <w:pPr>
        <w:spacing w:before="20" w:after="20"/>
        <w:ind w:left="170"/>
      </w:pPr>
      <w:r>
        <w:rPr>
          <w:rFonts w:ascii="Calibri" w:hAnsi="Calibri"/>
          <w:b/>
          <w:color w:val="4A6B25"/>
          <w:sz w:val="15"/>
        </w:rPr>
        <w:t xml:space="preserve">2. </w:t>
      </w:r>
      <w:r>
        <w:rPr>
          <w:rFonts w:ascii="Calibri" w:hAnsi="Calibri"/>
          <w:b w:val="0"/>
          <w:color w:val="3A4A28"/>
          <w:sz w:val="17"/>
        </w:rPr>
        <w:t>Lixiang Education Company Profile — Yahoo Finance, Investing.com, DCFModeling.com,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LXEH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