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LXEO</w:t>
      </w:r>
      <w:r>
        <w:rPr>
          <w:rFonts w:ascii="Calibri" w:hAnsi="Calibri"/>
          <w:b/>
          <w:color w:val="1A2010"/>
          <w:sz w:val="40"/>
        </w:rPr>
        <w:t xml:space="preserve">  Lexeo Therapeutics, Inc.</w:t>
      </w:r>
    </w:p>
    <w:p>
      <w:pPr>
        <w:spacing w:after="120"/>
      </w:pPr>
      <w:r>
        <w:rPr>
          <w:rFonts w:ascii="Calibri" w:hAnsi="Calibri"/>
          <w:b/>
          <w:color w:val="6E8450"/>
          <w:sz w:val="18"/>
        </w:rPr>
        <w:t>GROWTH SLEEVE · 2026-05-05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Lexeo Therapeutics is a clinical-stage genetic medicine company focused on transforming treatment of genetically defined cardiovascular diseases and APOE4-associated Alzheimer's disease through AAVrh10-based gene therapy. Lead programs include LX2006 for Friedreich ataxia cardiomyopathy and LX2020 for PKP2-ACM.</w:t>
      </w:r>
    </w:p>
    <w:p>
      <w:r>
        <w:rPr>
          <w:rFonts w:ascii="Calibri" w:hAnsi="Calibri"/>
          <w:b/>
          <w:color w:val="6E8450"/>
          <w:sz w:val="18"/>
        </w:rPr>
        <w:t>59 Employees · https://www.lexeotx.com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Lexeo emerged from stealth in 2022 with $85M and 18 gene therapy programs from Cornell University research, has advanced LX2006 into a pivotal SUNRISE-FA 2 trial (protocol submitted to FDA Q1 2026), and progressed LX2020 into Phase 1/2 for PKP2-ACM — two significant clinical milestones in 3 years [1][2]. AI Deployment (0/2): No evidence of AI-powered products or AI-driven internal efficiencies; the company is focused on gene therapy development [2]. Market Share (2/2): Lexeo is a first-mover in cardiac gene therapy with no approved competitors in Friedreich ataxia cardiomyopathy or PKP2-ACM gene therapy; the company is defining a new category with high unmet need [1]. Pipeline (2/2): Specific next-gen programs named: SUNRISE-FA 2 pivotal trial for LX2006 initiating 1H 2026, LX2020 Phase 1/2 enrolling, LX2021 and LX2022 in preclinical with clear development timelines [1]. R&amp;D Intensity (0/1): As a pre-revenue biotech, all spending is effectively R&amp;D, but this cannot be measured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Lexeo's mission to 'transform healthcare by applying pioneering science to fundamentally change how genetically defined cardiovascular diseases are treated' is specific, thoughtful, and reflects genuine intentionality about serving patients with high unmet need [2]. Community Impact (1/2): The company's work on rare diseases (Friedreich ataxia, PKP2-ACM) directly serves underserved patient populations with no existing gene therapy options, though no specific charitable programs cited [2]. Employee Retention (0/2): With only 59 employees and limited history as a public company (IPO 2023), insufficient data to assess retention beyond leadership stability. Insider Buying (1/2): CEO Nolan Townsend has held the role since January 2020 with significant equity exposure; the company has strengthened leadership with multiple C-suite hires (CMO appointments) indicating executive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Lexeo is a pre-revenue clinical-stage biotech with no commercial products. Net loss was $100M in 2025 ($1.86/share) with zero revenue [1]. The sole positive is pristine balance sheet: D/E of only 3.2% with $246.6M cash that funds operations into 2028, providing runway through potential LX2006 pivotal data readout. Forward P/E of -4.4x is meaningless for an unprofitable biotech. ROE of -55% reflects clinical-stage cash burn. Market cap of $455M provides some acquisition floor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Lexeo demonstrates genuine infinite game qualities in its patient pursuit of transformative gene therapy for rare cardiac diseases, with leadership continuity and scientific conviction. However, the company's short history as a public entity limits evidence of resilience through adversity.</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Lexeo's cause — fundamentally changing treatment for genetically defined cardiovascular diseases through gene therapy — is specific, service-oriented, and addresses genuinely unmet patient needs [2]. CEO Nolan Townsend articulates 'headwinds build resilience' as a leadership philosophy. The cause is genuine but has not yet been validated through decades of execution or leadership transitions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made strategic leadership appointments (Narinder Bhalla as CMO, Eric Adler as CMO/Head of Research) that bring decades of cardiovascular and gene therapy expertise [2]. CEO Townsend's 6-year tenure provides stability. However, with only 59 employees and limited public history, evidence of organizational trust beyond leadership stability is insufficient.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Lexeo acknowledges the broader gene therapy competitive landscape including Pfizer, BioMarin, and Sarepta while focusing on cardiac applications where no approved competitors exist [2]. CEO Townsend's prior experience at Pfizer Rare Disease suggests awareness of industry dynamics and willingness to learn from larger players' strengths and failures.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Lexeo expanded from its initial Alzheimer's focus (LX1001) to cardiovascular gene therapy as its primary strategy, representing a meaningful strategic pivot toward higher-probability programs [2]. The company maintains both cardiac and CNS pipelines, showing flexibility to pursue the most promising science rather than rigidly committing to a single indication.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cardiac gene therapy for rare diseases requires significant courage — the development timelines are long, the patient populations are small, and the regulatory path is uncertain [1]. Leadership invested $100M in 2025 R&amp;D against zero revenue, demonstrating conviction to build long-term capability over short-term financial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Lexeo Therapeutics is a clinical-stage gene therapy company with potentially transformative programs in cardiac diseases with zero approved competitors. The SUNRISE-FA 2 pivotal trial for LX2006 (Friedreich ataxia cardiomyopathy) is on track for 1H 2026 initiation following FDA Type B meeting, and LX2020 (PKP2-ACM) is in Phase 1/2 [1]. With $246.6M cash funding operations into 2028, the company has runway to reach pivotal data readouts without dilutive financing. The 9-analyst consensus rates LXEO a 'Strong Buy' with $18.44 average price target (212% upside), reflecting conviction in the pipeline's potential [1]. At $455M market cap, the valuation implies minimal probability of success — any positive clinical data could drive significant re-rating.</w:t>
      </w:r>
    </w:p>
    <w:p>
      <w:pPr>
        <w:spacing w:after="120"/>
      </w:pPr>
      <w:r>
        <w:rPr>
          <w:rFonts w:ascii="Calibri" w:hAnsi="Calibri"/>
          <w:b w:val="0"/>
          <w:color w:val="3A4A28"/>
          <w:sz w:val="20"/>
        </w:rPr>
        <w:t>The bear case centers on binary clinical risk: gene therapy development has a high failure rate, and Lexeo's programs are in early-to-mid-stage development with no Phase 3 efficacy data [1]. The $100M annual cash burn creates a ticking clock — while funded into 2028, any trial delays or negative data could force dilutive raises at distressed valuations. The stock has declined from its IPO levels to $5.80, suggesting the market is skeptical of near-term catalysts. Cardiac gene therapy manufacturing at commercial scale remains unproven, and AAV-based therapies face immunogenicity challenges that could limit re-dosing. The rare disease patient populations (Friedreich ataxia, PKP2-ACM) are small, potentially limiting peak commercial revenue even with successful approval. No revenue is expected for several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SUNRISE-FA 2 pivotal trial initiation in 1H 2026 for LX2006, representing the first controlled pivotal study in cardiac gene therapy for Friedreich ataxia [1]</w:t>
      </w:r>
    </w:p>
    <w:p>
      <w:pPr>
        <w:spacing w:before="40" w:after="40"/>
        <w:ind w:left="283"/>
      </w:pPr>
      <w:r>
        <w:rPr>
          <w:rFonts w:ascii="Calibri" w:hAnsi="Calibri"/>
          <w:b/>
          <w:color w:val="4A6B25"/>
          <w:sz w:val="20"/>
        </w:rPr>
        <w:t xml:space="preserve">2. </w:t>
      </w:r>
      <w:r>
        <w:rPr>
          <w:rFonts w:ascii="Calibri" w:hAnsi="Calibri"/>
          <w:b w:val="0"/>
          <w:color w:val="3A4A28"/>
          <w:sz w:val="20"/>
        </w:rPr>
        <w:t>LX2020 Phase 1/2 clinical data readout for PKP2-ACM gene therapy, potentially validating a first-in-class cardiac gene replacement approach [1]</w:t>
      </w:r>
    </w:p>
    <w:p>
      <w:pPr>
        <w:spacing w:before="40" w:after="40"/>
        <w:ind w:left="283"/>
      </w:pPr>
      <w:r>
        <w:rPr>
          <w:rFonts w:ascii="Calibri" w:hAnsi="Calibri"/>
          <w:b/>
          <w:color w:val="4A6B25"/>
          <w:sz w:val="20"/>
        </w:rPr>
        <w:t xml:space="preserve">3. </w:t>
      </w:r>
      <w:r>
        <w:rPr>
          <w:rFonts w:ascii="Calibri" w:hAnsi="Calibri"/>
          <w:b w:val="0"/>
          <w:color w:val="3A4A28"/>
          <w:sz w:val="20"/>
        </w:rPr>
        <w:t>Cash runway into 2028 eliminates near-term dilution risk and enables clinical execution without financing distractions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gene therapy programs in early/pivotal stage with no approved therapies as precedent in cardiac indications; trial failure could eliminate most of the company's value [1]</w:t>
      </w:r>
    </w:p>
    <w:p>
      <w:pPr>
        <w:spacing w:before="40" w:after="40"/>
        <w:ind w:left="283"/>
      </w:pPr>
      <w:r>
        <w:rPr>
          <w:rFonts w:ascii="Calibri" w:hAnsi="Calibri"/>
          <w:b/>
          <w:color w:val="4A6B25"/>
          <w:sz w:val="20"/>
        </w:rPr>
        <w:t xml:space="preserve">2. </w:t>
      </w:r>
      <w:r>
        <w:rPr>
          <w:rFonts w:ascii="Calibri" w:hAnsi="Calibri"/>
          <w:b w:val="0"/>
          <w:color w:val="3A4A28"/>
          <w:sz w:val="20"/>
        </w:rPr>
        <w:t>Annual cash burn of $100M with zero revenue creates dependency on positive clinical data to sustain valuation and avoid dilutive financing beyond 2028 [1]</w:t>
      </w:r>
    </w:p>
    <w:p>
      <w:pPr>
        <w:spacing w:before="40" w:after="40"/>
        <w:ind w:left="283"/>
      </w:pPr>
      <w:r>
        <w:rPr>
          <w:rFonts w:ascii="Calibri" w:hAnsi="Calibri"/>
          <w:b/>
          <w:color w:val="4A6B25"/>
          <w:sz w:val="20"/>
        </w:rPr>
        <w:t xml:space="preserve">3. </w:t>
      </w:r>
      <w:r>
        <w:rPr>
          <w:rFonts w:ascii="Calibri" w:hAnsi="Calibri"/>
          <w:b w:val="0"/>
          <w:color w:val="3A4A28"/>
          <w:sz w:val="20"/>
        </w:rPr>
        <w:t>AAV gene therapy manufacturing complexity and immunogenicity concerns could limit commercial viability even with positive efficacy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is fundamentally a wet-lab biological science that AI cannot replace — designing AAV vectors, manufacturing viral particles, conducting clinical trials, and navigating FDA approval processes require physical-world expertise and regulatory moats that AI cannot shortcut [2]. AI may accelerate target identification and trial design but cannot substitute for the actual gene therapy product or regulatory approval process. Lexeo's 200+ patent claims around AAVrh10 cardiac delivery create proprietary IP barriers. AI Opportunity (0/1): No meaningful AI revenue generation; the company is a pure gene therapy developer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Lexeo Therapeutics Q4/FY2025 Financial Results — $100M net loss, $246.6M cash, SUNRISE-FA 2 protocol submitted to FDA Q1 2026; GlobeNewsWire,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Lexeo Therapeutics Corporate Website and Press Releases — Leadership appointments (Bhalla CMO, Adler CMO/Research), pipeline overview, mission statement; ir.lexeotx.com,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LXEO (Lexeo Therapeutics),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