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w:t>
      </w:r>
      <w:r>
        <w:rPr>
          <w:rFonts w:ascii="Calibri" w:hAnsi="Calibri"/>
          <w:b/>
          <w:color w:val="1A2010"/>
          <w:sz w:val="40"/>
        </w:rPr>
        <w:t xml:space="preserve">  LexinFintech Holdings Ltd.</w:t>
      </w:r>
    </w:p>
    <w:p>
      <w:pPr>
        <w:spacing w:after="120"/>
      </w:pPr>
      <w:r>
        <w:rPr>
          <w:rFonts w:ascii="Calibri" w:hAnsi="Calibri"/>
          <w:b/>
          <w:color w:val="6E8450"/>
          <w:sz w:val="18"/>
        </w:rPr>
        <w:t>GROWTH SLEEVE · 2026-04-25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NASDAQ · China</w:t>
      </w:r>
    </w:p>
    <w:p>
      <w:pPr>
        <w:spacing w:after="80"/>
      </w:pPr>
      <w:r>
        <w:rPr>
          <w:rFonts w:ascii="Calibri" w:hAnsi="Calibri"/>
          <w:b w:val="0"/>
          <w:color w:val="3A4A28"/>
          <w:sz w:val="20"/>
        </w:rPr>
        <w:t>LexinFintech Holdings Ltd. operates an online consumer finance platform in China, offering installment purchase loans, personal installment loans, and direct e-commerce sales through its Fenqile platform. The company provides technology-driven platform services for financial institutions and credit-driven services including customer acquisition and credit screening. Founded in 2013 and headquartered in Shenzhen, LexinFintech is pivoting toward an AI-powered tech-empowerment model.</w:t>
      </w:r>
    </w:p>
    <w:p>
      <w:r>
        <w:rPr>
          <w:rFonts w:ascii="Calibri" w:hAnsi="Calibri"/>
          <w:b/>
          <w:color w:val="6E8450"/>
          <w:sz w:val="18"/>
        </w:rPr>
        <w:t>https://www.lexin.com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LexinFintech executed a significant strategic pivot from pure credit facilitation to a tech-empowerment and ecosystem model in response to China's regulatory changes, but full-year 2025 revenue declined 7.4% to RMB 13.15B and Q4 revenue fell 16.8% YoY, showing the transition is painful [1]. AI Deployment (2/2): AI agents are deployed across 50+ operational roles including credit strategy reviews, customer service, and decision-making, with plans to scale to 100+ roles by year-end 2026 — this is concrete, quantified AI deployment at scale [2]. Market Share (1/2): LexinFintech is a meaningful player in China's online consumer lending market, originating substantial loan volumes through Fenqile, though specific market share data is not reported [1]. Pipeline (1/2): The AI agent scaling plan from 50 to 100+ roles provides a specific pipeline with timeline, and the tech-empowerment pivot targets a larger addressable market of financial institution clients [2]. R&amp;D Intensity (1/1): As a fintech company, LexinFintech invests significantly in technology — the AI agent deployment and platform development indicate above-average tech intensity for the consumer finance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LexinFintech's mission to 'use technology and risk management expertise to make financing more accessible for young generation consumers' is clear and identifies a specific underserved audience, but it doesn't articulate a transformative vision beyond financial access [2]. Community Impact (1/2): The company reports financial literacy education programs, youth education development support, and rural revitalization initiatives in its ESG report [3]. These are constructive but standard corporate social programs. Employee Retention (0/2): No specific employee retention, tenure, or turnover data available. Insider Buying (2/2): CEO Jay Wenjie Xiao made a personal commitment to repurchase $10M in shares, signaling meaningful insider conviction at a time when the stock trades at 0.2x book value and 1.5x trailing earnings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passed: 1,563,531 avg volume x $2.14 = $3.35M daily [4]. Growth stock calculation (insufficient dividend history for Dividend sleeve): D/E 39.9% scores 1.0, ROE 14.8% scores 0.99 (2x weight), Revenue Growth YoY -16.8% scores 0.11, Forward P/E 1.79 scores 1.0, Profit Margin 12.75% scores 0.64 [4]. 5yr revenue CAGR and Forward PEG unavailable — excluded. Weighted sum: (1x1.0)+(2x0.99)+(1x0.11)+(1x1.0)+(1x0.64) = 4.72 out of max 6.0 = 7.87 -&gt; rounds to 8. The extreme valuation discount (P/E 1.5x, P/B 0.2x) reflects the China ADR discount and regulatory risk premium rather than underlying financial weakness. RMB 1.7B net profit in 2025 against $360M market cap with D/E under 40% demonstrates solid fundamentals beneath the geopolitical discount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LexinFintech operates with a mixed-to-finite mindset. The company has demonstrated genuine flexibility in pivoting from credit facilitation to tech-empowerment under regulatory pressure, and CEO Xiao's $10M personal investment signals long-term commitment. However, the pivot was forced by regulation rather than driven by a Just Cause, and the company's framing remains focused on financial metrics and market position rather than 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Making financing accessible to young consumers is a genuine purpose that connects LexinFintech's work to financial inclusion, and the company has maintained this focus since founding in 2013 [2]. However, it reads more as a market positioning statement than a vision of a future state worth sacrificing for. The regulatory-forced pivot suggests the cause is adaptable to whatever regulators allow rather than deeply held. Score: 1 pt -&gt; 4/10.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LexinFintech has maintained stable leadership under founder/CEO Jay Wenjie Xiao since 2013, providing organizational continuity through IPO, regulatory upheaval, and strategic transformation [2]. No evidence of mass layoffs, cultural dysfunction, or leadership instability. The scaling of AI agents across 50+ roles suggests a culture willing to adopt new tools. However, no specific employee satisfaction or retention data is available. Score: 1 pt -&gt; 6/10.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LexinFintech acknowledging competitors' strengths or adopting an improvement-oriented competitive mindset. The company does not reference Ant Group, JD Finance, or WeBank as worthy rivals whose strengths drive self-improvement. Competitive language in filings is defensive rather than learning-oriented. Score: 0 pts -&gt; 3/10.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LexinFintech executed a meaningful pivot from pure credit facilitation to tech-empowerment and ecosystem services in response to China's evolving regulatory environment [2]. This required restructuring the business model, developing new capabilities (AI agents, platform services), and transitioning revenue streams. While the change was forced by regulation rather than chosen, the speed and scope of adaptation demonstrates organizational flexibility. Score: 1 pt -&gt; 6/10.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Jay Xiao's personal commitment to repurchase $10M in shares at 0.2x book value signals genuine conviction when the market was deeply skeptical of Chinese fintech [2]. The company also maintained RMB 1.7B in profit during a turbulent regulatory year while investing in AI transformation, showing discipline in balancing near-term profitability with long-term repositioning [1]. Score: 1 pt -&gt;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LexinFintech is a deeply discounted Chinese fintech trading at 1.5x trailing P/E and 0.2x book value, with RMB 1.7B ($234M) net profit in FY2025 against a $360M market cap [1][4]. The company is executing an AI-first transformation with agents deployed across 50+ operational roles, scaling to 100+, which could structurally reduce operating costs and improve credit decisioning [2]. D/E of 40% and 23% payout ratio support a 17.8% forward dividend yield — if sustained, the stock pays for itself in under six years. CEO Xiao's $10M personal share purchase at depressed levels signals insider confidence in the long-term value of the platform and proprietary credit data [2].</w:t>
      </w:r>
    </w:p>
    <w:p>
      <w:pPr>
        <w:spacing w:after="120"/>
      </w:pPr>
      <w:r>
        <w:rPr>
          <w:rFonts w:ascii="Calibri" w:hAnsi="Calibri"/>
          <w:b w:val="0"/>
          <w:color w:val="3A4A28"/>
          <w:sz w:val="20"/>
        </w:rPr>
        <w:t>The bear case is significant. Revenue declined 7.4% for FY2025 and 16.8% in Q4, driven by Chinese regulatory changes that forced the company to cease certain loan products and restructure its business model [1]. China's consumer lending regulatory environment remains unpredictable, and further policy tightening could compress margins or restrict growth. As a Chinese ADR with VIE structure, LexinFintech faces dual regulatory risk: potential US delisting under HFCAA and Chinese scrutiny of overseas-listed fintechs. The stock has declined 77% from its 52-week high of $9.35 to $2.14, and the extreme valuation discount (1.5x PE) may reflect justified market skepticism about the sustainability of reported profits and the reliability of the China ADR structure. Earnings declined 39.8% in Q4 2025, suggesting profitability pressure is intensifying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scaling from 50+ to 100+ roles by year-end 2026 could drive material cost reductions and operating leverage across credit, customer service, and decision-making functions [2]</w:t>
      </w:r>
    </w:p>
    <w:p>
      <w:pPr>
        <w:spacing w:before="40" w:after="40"/>
        <w:ind w:left="283"/>
      </w:pPr>
      <w:r>
        <w:rPr>
          <w:rFonts w:ascii="Calibri" w:hAnsi="Calibri"/>
          <w:b/>
          <w:color w:val="4A6B25"/>
          <w:sz w:val="20"/>
        </w:rPr>
        <w:t xml:space="preserve">2. </w:t>
      </w:r>
      <w:r>
        <w:rPr>
          <w:rFonts w:ascii="Calibri" w:hAnsi="Calibri"/>
          <w:b w:val="0"/>
          <w:color w:val="3A4A28"/>
          <w:sz w:val="20"/>
        </w:rPr>
        <w:t>Extreme valuation discount (1.5x PE, 0.2x P/B) creates asymmetric upside if China ADR sentiment improves or regulatory clarity emerges [4]</w:t>
      </w:r>
    </w:p>
    <w:p>
      <w:pPr>
        <w:spacing w:before="40" w:after="40"/>
        <w:ind w:left="283"/>
      </w:pPr>
      <w:r>
        <w:rPr>
          <w:rFonts w:ascii="Calibri" w:hAnsi="Calibri"/>
          <w:b/>
          <w:color w:val="4A6B25"/>
          <w:sz w:val="20"/>
        </w:rPr>
        <w:t xml:space="preserve">3. </w:t>
      </w:r>
      <w:r>
        <w:rPr>
          <w:rFonts w:ascii="Calibri" w:hAnsi="Calibri"/>
          <w:b w:val="0"/>
          <w:color w:val="3A4A28"/>
          <w:sz w:val="20"/>
        </w:rPr>
        <w:t>Tech-empowerment pivot targeting financial institution clients broadens the revenue base beyond direct consumer lending into B2B platform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regulatory risk — evolving consumer lending rules forced product cessation in 2025 and could further restrict loan origination, pricing, or business scope [1]</w:t>
      </w:r>
    </w:p>
    <w:p>
      <w:pPr>
        <w:spacing w:before="40" w:after="40"/>
        <w:ind w:left="283"/>
      </w:pPr>
      <w:r>
        <w:rPr>
          <w:rFonts w:ascii="Calibri" w:hAnsi="Calibri"/>
          <w:b/>
          <w:color w:val="4A6B25"/>
          <w:sz w:val="20"/>
        </w:rPr>
        <w:t xml:space="preserve">2. </w:t>
      </w:r>
      <w:r>
        <w:rPr>
          <w:rFonts w:ascii="Calibri" w:hAnsi="Calibri"/>
          <w:b w:val="0"/>
          <w:color w:val="3A4A28"/>
          <w:sz w:val="20"/>
        </w:rPr>
        <w:t>US-China ADR structural risk — VIE structure provides no direct asset ownership, HFCAA delisting threat persists, and the 77% price decline signals deep market distrust [4]</w:t>
      </w:r>
    </w:p>
    <w:p>
      <w:pPr>
        <w:spacing w:before="40" w:after="40"/>
        <w:ind w:left="283"/>
      </w:pPr>
      <w:r>
        <w:rPr>
          <w:rFonts w:ascii="Calibri" w:hAnsi="Calibri"/>
          <w:b/>
          <w:color w:val="4A6B25"/>
          <w:sz w:val="20"/>
        </w:rPr>
        <w:t xml:space="preserve">3. </w:t>
      </w:r>
      <w:r>
        <w:rPr>
          <w:rFonts w:ascii="Calibri" w:hAnsi="Calibri"/>
          <w:b w:val="0"/>
          <w:color w:val="3A4A28"/>
          <w:sz w:val="20"/>
        </w:rPr>
        <w:t>Revenue contraction of 16.8% (Q4) and earnings decline of 39.8% suggest the regulatory-driven business model transition may permanently impair the earnings power of the credit facilitation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Consumer lending and credit facilitation face direct AI disruption risk from multiple vectors: automated AI credit scoring models from larger platforms (Ant Group, Tencent), AI-powered robo-lending services, and algorithmic underwriting that could commoditize LexinFintech's core credit assessment capabilities [1]. Chinese Big Tech firms with superior data advantages could vertically integrate lending. However, LexinFintech's proprietary risk models built on years of consumer credit data provide some defensive moat, and the regulated nature of lending in China adds barriers. AI Opportunity (1/1): LexinFintech generates meaningful AI-driven value with AI agents deployed across 50+ roles, with plans to scale to 100+ — these include credit strategy, customer service automation, and operational decision-making that directly impact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LexinFintech Q4 and Full Year 2025 Unaudited Financial Results — RMB 13.15B revenue (-7.4%), RMB 1.7B net profit, Q1 2026 loan origination guidance flat</w:t>
      </w:r>
    </w:p>
    <w:p>
      <w:pPr>
        <w:spacing w:before="20" w:after="20"/>
        <w:ind w:left="170"/>
      </w:pPr>
      <w:r>
        <w:rPr>
          <w:rFonts w:ascii="Calibri" w:hAnsi="Calibri"/>
          <w:b/>
          <w:color w:val="4A6B25"/>
          <w:sz w:val="15"/>
        </w:rPr>
        <w:t xml:space="preserve">2. </w:t>
      </w:r>
      <w:r>
        <w:rPr>
          <w:rFonts w:ascii="Calibri" w:hAnsi="Calibri"/>
          <w:b w:val="0"/>
          <w:color w:val="3A4A28"/>
          <w:sz w:val="17"/>
        </w:rPr>
        <w:t>AInvest / LexinFintech IR — AI agent deployment across 50+ roles, CEO $10M share repurchase, tech-empowerment strategic pivot</w:t>
      </w:r>
    </w:p>
    <w:p>
      <w:pPr>
        <w:spacing w:before="20" w:after="20"/>
        <w:ind w:left="170"/>
      </w:pPr>
      <w:r>
        <w:rPr>
          <w:rFonts w:ascii="Calibri" w:hAnsi="Calibri"/>
          <w:b/>
          <w:color w:val="4A6B25"/>
          <w:sz w:val="15"/>
        </w:rPr>
        <w:t xml:space="preserve">3. </w:t>
      </w:r>
      <w:r>
        <w:rPr>
          <w:rFonts w:ascii="Calibri" w:hAnsi="Calibri"/>
          <w:b w:val="0"/>
          <w:color w:val="3A4A28"/>
          <w:sz w:val="17"/>
        </w:rPr>
        <w:t>LexinFintech 2022 ESG Report — financial literacy programs, youth education, rural revitalization initiatives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LX — key statistics, financial metrics, insider holdings, accessed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