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LYB</w:t>
      </w:r>
      <w:r>
        <w:rPr>
          <w:rFonts w:ascii="Calibri" w:hAnsi="Calibri"/>
          <w:b/>
          <w:color w:val="1A2010"/>
          <w:sz w:val="40"/>
        </w:rPr>
        <w:t xml:space="preserve">  LyondellBasell Industries NV</w:t>
      </w:r>
    </w:p>
    <w:p>
      <w:pPr>
        <w:spacing w:after="120"/>
      </w:pPr>
      <w:r>
        <w:rPr>
          <w:rFonts w:ascii="Calibri" w:hAnsi="Calibri"/>
          <w:b/>
          <w:color w:val="6E8450"/>
          <w:sz w:val="18"/>
        </w:rPr>
        <w:t>DIVIDEND SLEEVE · 2026-03-28 · Inspire: 43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Specialty Chemicals · NYSE · Netherlands</w:t>
      </w:r>
    </w:p>
    <w:p>
      <w:pPr>
        <w:spacing w:after="80"/>
      </w:pPr>
      <w:r>
        <w:rPr>
          <w:rFonts w:ascii="Calibri" w:hAnsi="Calibri"/>
          <w:b w:val="0"/>
          <w:color w:val="3A4A28"/>
          <w:sz w:val="20"/>
        </w:rPr>
        <w:t>LyondellBasell Industries is one of the world's largest plastics, chemicals, and refining companies, operating across five segments: Olefins and Polyolefins Americas, Olefins and Polyolefins Europe/Asia, Intermediates and Derivatives, Advanced Polymer Solutions, and Technology. The company is a leading producer of polypropylene and polyethylene used in packaging, automotive, construction, and consumer goods.</w:t>
      </w:r>
    </w:p>
    <w:p>
      <w:r>
        <w:rPr>
          <w:rFonts w:ascii="Calibri" w:hAnsi="Calibri"/>
          <w:b/>
          <w:color w:val="6E8450"/>
          <w:sz w:val="18"/>
        </w:rPr>
        <w:t>18,970 Employees · https://www.lyondellbasell.com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LyondellBasell has not launched transformative new products; the business model remains centered on commodity polyolefins and intermediates with no meaningful pivot in five years [1]. The MoReTec-1 advanced recycling plant is under construction but not yet operational. AI Deployment (1/2): The company partnered with C3 AI for enterprise-wide AI/ML deployment to improve asset optimization, supply chain, and plant reliability, but these are internal efficiency plays, not customer-facing AI products [2]. Market Share (1/2): LYB is the world's largest polypropylene producer and a top-three polyethylene producer, but this is commodity leadership with limited pricing power — polyolefin margins in 2025 were among the weakest in a decade [1]. Pipeline (1/2): MoReTec-1 advanced recycling technology and European asset divestitures represent portfolio evolution, but timelines are extended and revenue visibility is limited [1]. R&amp;D Intensity (0/1): R&amp;D spending is below average for the chemical sector, consistent with a process-focused commodity producer.</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LyondellBasell's stated purpose is 'creating solutions for everyday sustainable living,' which is generic and interchangeable with most chemical peers — it does not articulate a distinctive vision beyond industry norms [3]. Community Impact (1/2): The company ties 20% of executive compensation to safety metrics and 10% to sustainability metrics, and operates supply chain ESG programs via EcoVadis partnerships with J.P. Morgan [3]. Employee Retention (1/2): Glassdoor rating of 3.6/5 is industry average; employees cite good pay and benefits but flag deteriorating leadership culture, lack of direction, and office politics under current management [2]. Insider Buying (1/2): AI Investments Holdings (&gt;10% owner) sold 385,390 shares for $26.3M in March 2026 while also gifting 464,610 shares — net insider activity is mixed with no executive open-market buying evident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LYB's infrastructure reflects a cyclically challenged but financially durable enterprise. D/E of 144.2% is elevated but manageable for a capital-intensive chemical producer [5]. ROE is negative at -6.9% due to the $738M full-year 2025 net loss driven by decade-low polyolefin margins and $892M Q3 impairments [1]. Revenue declined 9.2% YoY to $30.15B with 5yr CAGR of just 1.6%, reflecting commodity pricing volatility [1]. Forward P/E of 17.9x implies meaningful recovery is priced in. Profit margin is negative at -2.5%. The dividend profile provides ballast: 15 consecutive years of payments, ~10 years of regular dividend growth, and a 5yr dividend growth CAGR of 5.3% [4]. The company generated $2.3B operating cash flow with 95% cash conversion despite the net loss [1]. Liquidity floor cleared: $624M daily turnover.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LyondellBasell plays a mixed game — the MoReTec advanced recycling initiative and European portfolio divestitures show some long-term strategic thinking, but the company remains largely focused on near-term margin management and cost optimization in a brutally cyclical commodity business. CEO Vanacker's $1.3B Cash Improvement Plan is a finite-game optimization play.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'Creating solutions for everyday sustainable living' is a marketing statement, not a Just Cause. It does not describe a future state worth sacrificing for, and it is indistinguishable from peer mission statements at Dow or BASF [3]. The MoReTec recycling technology hints at a deeper purpose around circular plastics, but it has not yet been elevated to a company-defining cause.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reviews (3.6/5) reveal adequate but unremarkable trust levels [2]. Employees cite good compensation and collaboration at lower levels, but multiple reviewers flag deteriorating leadership culture, lack of strategic direction, favoritism, and office politics. CHRO Trisha Conley has acknowledged the need for cultural transformation toward agility and resilience, suggesting leadership recognizes trust gaps [2].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LyondellBasell's competitive language focuses on cost advantage (North American feedstock positioning vs. Asian/Middle Eastern competitors) and market share rather than learning from rivals [1]. Management commentary at the JPMorgan conference emphasized competitive advantages over Asian capacity rather than acknowledging rival strengths. This is finite competitive thinking.</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divestiture of four European assets and investment in MoReTec-1 advanced recycling represent incremental portfolio evolution [1]. The $1.2B capex plan for 2026 maintains existing operations while building next-generation recycling capability. These are sensible adaptations but not transformative reinvention — the company remains fundamentally a commodity polyolefins producer.</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Vanacker has shown some willingness to make difficult decisions — divesting underperforming European assets and investing in MoReTec despite the industry downturn [1]. The $1.3B Cash Improvement Plan shows operational discipline. However, increasing his own compensation to $17M while the company posted a $738M net loss undermines the narrative of shared sacrifice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LyondellBasell offers deep cyclical value at 17.9x forward earnings with a 5.97% dividend yield, positioning investors for a commodity upcycle recovery [1]. The company generated $2.3B operating cash flow with 95% cash conversion even through a severe downturn, demonstrating balance sheet resilience [1]. North American feedstock cost advantages (cheap natural gas vs. naphtha-based Asian/European competitors) provide structural margin support, and reduced Middle Eastern supply could tighten global polyolefin markets [2]. The MoReTec-1 advanced recycling technology represents a differentiated bet on circular economy demand. At $80.45, the stock trades near its 52-week high of $81.26 after recovering from a $41.58 low, suggesting the market is pricing in recovery.</w:t>
      </w:r>
    </w:p>
    <w:p>
      <w:pPr>
        <w:spacing w:after="120"/>
      </w:pPr>
      <w:r>
        <w:rPr>
          <w:rFonts w:ascii="Calibri" w:hAnsi="Calibri"/>
          <w:b w:val="0"/>
          <w:color w:val="3A4A28"/>
          <w:sz w:val="20"/>
        </w:rPr>
        <w:t>The bear case is significant: LYB posted a $738M net loss in 2025 with profit margins at -2.5% and ROE at -6.9%, reflecting the worst polyolefin margin environment in a decade [1]. Analyst consensus is Hold with a $55.86 average price target — well below the current $80.45 price — implying 30%+ downside risk [1]. Revenue has declined 20% over the past year and the 5yr CAGR is just 1.6%, reflecting structural overcapacity in global petrochemicals. The payout ratio exceeds 100% on forward earnings, putting the $4.80 annual dividend at risk if the downcycle persists. European asset divestitures are not yet complete, creating execution risk. The D/E of 144% limits financial flexibility for counter-cyclical investment. AI Investments Holdings' $26.3M insider sale in March 2026 signals limited conviction from the largest shareholder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Global polyolefin margin recovery as Asian/Middle Eastern capacity faces constraints and North American supply tightens post-winter storm disruptions [1]</w:t>
      </w:r>
    </w:p>
    <w:p>
      <w:pPr>
        <w:spacing w:before="40" w:after="40"/>
        <w:ind w:left="283"/>
      </w:pPr>
      <w:r>
        <w:rPr>
          <w:rFonts w:ascii="Calibri" w:hAnsi="Calibri"/>
          <w:b/>
          <w:color w:val="4A6B25"/>
          <w:sz w:val="20"/>
        </w:rPr>
        <w:t xml:space="preserve">2. </w:t>
      </w:r>
      <w:r>
        <w:rPr>
          <w:rFonts w:ascii="Calibri" w:hAnsi="Calibri"/>
          <w:b w:val="0"/>
          <w:color w:val="3A4A28"/>
          <w:sz w:val="20"/>
        </w:rPr>
        <w:t>Completion of European asset divestitures in Q2 2026, simplifying the portfolio and releasing capital for higher-return investments [1]</w:t>
      </w:r>
    </w:p>
    <w:p>
      <w:pPr>
        <w:spacing w:before="40" w:after="40"/>
        <w:ind w:left="283"/>
      </w:pPr>
      <w:r>
        <w:rPr>
          <w:rFonts w:ascii="Calibri" w:hAnsi="Calibri"/>
          <w:b/>
          <w:color w:val="4A6B25"/>
          <w:sz w:val="20"/>
        </w:rPr>
        <w:t xml:space="preserve">3. </w:t>
      </w:r>
      <w:r>
        <w:rPr>
          <w:rFonts w:ascii="Calibri" w:hAnsi="Calibri"/>
          <w:b w:val="0"/>
          <w:color w:val="3A4A28"/>
          <w:sz w:val="20"/>
        </w:rPr>
        <w:t>MoReTec-1 advanced recycling plant commissioning, creating a differentiated circular economy revenue stream with potential brand-owner premium pricing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Sustained commodity overcapacity — global polyethylene and polypropylene capacity additions from China and the Middle East could keep margins depressed beyond 2026 [1]</w:t>
      </w:r>
    </w:p>
    <w:p>
      <w:pPr>
        <w:spacing w:before="40" w:after="40"/>
        <w:ind w:left="283"/>
      </w:pPr>
      <w:r>
        <w:rPr>
          <w:rFonts w:ascii="Calibri" w:hAnsi="Calibri"/>
          <w:b/>
          <w:color w:val="4A6B25"/>
          <w:sz w:val="20"/>
        </w:rPr>
        <w:t xml:space="preserve">2. </w:t>
      </w:r>
      <w:r>
        <w:rPr>
          <w:rFonts w:ascii="Calibri" w:hAnsi="Calibri"/>
          <w:b w:val="0"/>
          <w:color w:val="3A4A28"/>
          <w:sz w:val="20"/>
        </w:rPr>
        <w:t>Dividend sustainability — the $4.80 annual dividend requires $1.5B+ of cash at a time when trailing earnings are deeply negative and payout ratio exceeds 100% on forward estimates [5]</w:t>
      </w:r>
    </w:p>
    <w:p>
      <w:pPr>
        <w:spacing w:before="40" w:after="40"/>
        <w:ind w:left="283"/>
      </w:pPr>
      <w:r>
        <w:rPr>
          <w:rFonts w:ascii="Calibri" w:hAnsi="Calibri"/>
          <w:b/>
          <w:color w:val="4A6B25"/>
          <w:sz w:val="20"/>
        </w:rPr>
        <w:t xml:space="preserve">3. </w:t>
      </w:r>
      <w:r>
        <w:rPr>
          <w:rFonts w:ascii="Calibri" w:hAnsi="Calibri"/>
          <w:b w:val="0"/>
          <w:color w:val="3A4A28"/>
          <w:sz w:val="20"/>
        </w:rPr>
        <w:t>Regulatory and environmental liabilities — as a major petrochemical producer with Sustainalytics Moderate Controversy Level, LYB faces growing plastics regulation and carbon pricing risk in Europe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LyondellBasell's core business — large-scale petrochemical production, refining, and polymer manufacturing — is fundamentally physical and cannot be displaced by AI [2]. Chemical plants require massive capital infrastructure, regulatory permits, and deep process engineering that AI cannot substitute. However, AI tools could accelerate competitor R&amp;D in specialty chemicals and advanced materials, creating some indirect competitive pressure on commodity margins. Analysts have not flagged AI as a disruption risk; the primary threats remain cyclical commodity pricing, feedstock costs, and overcapacity [1]. AI Opportunity (1/1): The C3 AI partnership is generating measurable operational efficiencies across asset optimization, supply chain, and plant reliability globally, and Emerson's AI-driven automation modernization at the Wesseling complex demonstrates active AI revenue capture on the cost side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LyondellBasell 2025 Full Year Earnings Release — $30.15B revenue, $(738)M net loss, $2.3B operating cash flow, February 2026</w:t>
      </w:r>
    </w:p>
    <w:p>
      <w:pPr>
        <w:spacing w:before="20" w:after="20"/>
        <w:ind w:left="170"/>
      </w:pPr>
      <w:r>
        <w:rPr>
          <w:rFonts w:ascii="Calibri" w:hAnsi="Calibri"/>
          <w:b/>
          <w:color w:val="4A6B25"/>
          <w:sz w:val="15"/>
        </w:rPr>
        <w:t xml:space="preserve">2. </w:t>
      </w:r>
      <w:r>
        <w:rPr>
          <w:rFonts w:ascii="Calibri" w:hAnsi="Calibri"/>
          <w:b w:val="0"/>
          <w:color w:val="3A4A28"/>
          <w:sz w:val="17"/>
        </w:rPr>
        <w:t>LyondellBasell AI and Leadership — C3 AI partnership, Emerson automation modernization, Glassdoor reviews (3.6/5), CEO compensation, March 2026</w:t>
      </w:r>
    </w:p>
    <w:p>
      <w:pPr>
        <w:spacing w:before="20" w:after="20"/>
        <w:ind w:left="170"/>
      </w:pPr>
      <w:r>
        <w:rPr>
          <w:rFonts w:ascii="Calibri" w:hAnsi="Calibri"/>
          <w:b/>
          <w:color w:val="4A6B25"/>
          <w:sz w:val="15"/>
        </w:rPr>
        <w:t xml:space="preserve">3. </w:t>
      </w:r>
      <w:r>
        <w:rPr>
          <w:rFonts w:ascii="Calibri" w:hAnsi="Calibri"/>
          <w:b w:val="0"/>
          <w:color w:val="3A4A28"/>
          <w:sz w:val="17"/>
        </w:rPr>
        <w:t>LyondellBasell Sustainability and ESG — Sustainalytics Strong ESG management rating, Moderate Controversy Level, supply chain ESG programs, 2025</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LYB, insider transactions, dividend history, retrieved March 2026</w:t>
      </w:r>
    </w:p>
    <w:p>
      <w:pPr>
        <w:spacing w:before="20" w:after="20"/>
        <w:ind w:left="170"/>
      </w:pPr>
      <w:r>
        <w:rPr>
          <w:rFonts w:ascii="Calibri" w:hAnsi="Calibri"/>
          <w:b/>
          <w:color w:val="4A6B25"/>
          <w:sz w:val="15"/>
        </w:rPr>
        <w:t xml:space="preserve">5. </w:t>
      </w:r>
      <w:r>
        <w:rPr>
          <w:rFonts w:ascii="Calibri" w:hAnsi="Calibri"/>
          <w:b w:val="0"/>
          <w:color w:val="3A4A28"/>
          <w:sz w:val="17"/>
        </w:rPr>
        <w:t>MarketBeat / StockAnalysis — LYB analyst consensus Hold, $55.86 avg price target, 14 analysts,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