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LYG</w:t>
      </w:r>
      <w:r>
        <w:rPr>
          <w:rFonts w:ascii="Calibri" w:hAnsi="Calibri"/>
          <w:b/>
          <w:color w:val="1A2010"/>
          <w:sz w:val="40"/>
        </w:rPr>
        <w:t xml:space="preserve">  Lloyds Banking Group plc</w:t>
      </w:r>
    </w:p>
    <w:p>
      <w:pPr>
        <w:spacing w:after="120"/>
      </w:pPr>
      <w:r>
        <w:rPr>
          <w:rFonts w:ascii="Calibri" w:hAnsi="Calibri"/>
          <w:b/>
          <w:color w:val="6E8450"/>
          <w:sz w:val="18"/>
        </w:rPr>
        <w:t>DIVIDEND SLEEVE · 2026-03-24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Banks—Regional · NYSE · United Kingdom</w:t>
      </w:r>
    </w:p>
    <w:p>
      <w:pPr>
        <w:spacing w:after="80"/>
      </w:pPr>
      <w:r>
        <w:rPr>
          <w:rFonts w:ascii="Calibri" w:hAnsi="Calibri"/>
          <w:b w:val="0"/>
          <w:color w:val="3A4A28"/>
          <w:sz w:val="20"/>
        </w:rPr>
        <w:t>Lloyds Banking Group is the UK's largest retail and commercial bank, operating through the Lloyds Bank, Halifax, Bank of Scotland, and Scottish Widows brands. As the #1 UK mortgage lender, #1 in credit cards and personal loans, and #2 in workplace pensions, the group serves approximately 26 million customers. Under CEO Charles Nunn, Lloyds is executing an aggressive digital and AI transformation strategy, targeting £100M+ in generative AI value in 2026.</w:t>
      </w:r>
    </w:p>
    <w:p>
      <w:r>
        <w:rPr>
          <w:rFonts w:ascii="Calibri" w:hAnsi="Calibri"/>
          <w:b/>
          <w:color w:val="6E8450"/>
          <w:sz w:val="18"/>
        </w:rPr>
        <w:t>67,000 Employees · https://www.lloydsbankinggroup.com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Lloyds has 50+ live generative AI use cases generating ~£50M in P&amp;L benefits in 2025, with a target of £100M+ in 2026[1]. Internal tools include Athena (AI search assistant used by 20,000 colleagues, reducing search time 66%), GitHub Copilot (5,000 engineers, 50% improvement in code conversion), and an AI HR assistant resolving 90% of queries on first contact. The group rose 12 places in the Evident AI Global Index, the strongest improvement of any UK bank[2]. Strategic initiatives revenue reached £1.4B in 2025, with a 2026 target of £2B—directly attributable to digital transformation. Innovation track record: 1pt (digital bank scale—23M digitally active customers). AI deployment: 2pts (£50M AI P&amp;L value measured, 50+ use cases). Market share: 1pt (#1 UK mortgage, credit cards, personal loans). Pipeline: 2pts (agentic AI rollout, financial AI assistant named with timeline). R&amp;D: 0pts. Total: 6.</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Lloyds's stated purpose—'Helping Britain Prosper'—is specific, service-oriented, and connects the bank's work to a national economic mission. Mission floor: 3 (specific and validated by the bank's 160+ year role in British financial life). The bank maintains significant community investment programs including financial inclusion initiatives and housing finance support—qualifying for 1 community impact point. With 67,000 employees and the UK AI Academy training the entire workforce, Lloyds's investment in employee capability is above-average—qualifying for 1 retention/empowerment point. No significant insider buying documented for CEO Nunn, scoring 0. Total: 3 + 1 + 1 + 0 = 5, displayed as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Lloyds's FY2025 financial infrastructure is solid: statutory profit before tax £6.66B (+12%), net income £18.3B (+7%), RoTE 12.9%[1]. FY2026 guidance upgraded to RoTE &gt;16% (from 12.9%), NII ~£14.9B, and cost-income ratio below 50%. Dividend yield is ~5% with 15% increase in 2026, and the company initiated a £1.75B buyback. The motor finance commission liability (£1.95B provision, final amount uncertain) creates tail risk. D/E not meaningful for banks; capital ratios are robust. The dividend quality for a major UK bank is strong—consecutive payments and growth for the 2021-2026 period following the COVID reset.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Lloyds's 'Helping Britain Prosper' mission has been consistent through the 2008 financial crisis, Lloyds-HBOS merger difficulties, and the current motor finance controversy. CEO Nunn's framing of AI as enabling Lloyds to 'do things we haven't been able to do for the last 30 years' reflects genuine long-term mission thinking rather than quarterly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Lloyds's purpose—Helping Britain Prosper—is genuinely service-oriented, national in scope, and has been validated through 160+ years of institutional history including multiple financial crises. The company's role as #1 UK mortgage lender means it literally enables home ownership for millions of Britons—a concrete expression of the Just Cause. Score: 2 points (genuine cause, partially validated through multiple cycles), display 7.</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Lloyds's investment in AI training for all 67,000 employees—the AI Academy, Cambridge Judge Business School leadership program, and GenAI Masterclasses—demonstrates extraordinary trust in employee capability. The 'Leading With AI' program for 200+ senior leaders reflects a culture of investing in people rather than replacing them. Won Best Responsible AI Programme at DataIQ Awards. Score: 2 points (high-trust organization with documented investment in employee empowerment), display 10.</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Nunn benchmarks against Barclays, HSBC, and challenger banks (Starling, Monzo) whose digital capabilities push Lloyds to accelerate its own AI and digital investment. The Evident AI Global Index ranking improvement (+12 places) reflects competitive awareness driving measurable improvement. Score: 1 point, display 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Lloyds is transforming from a branch-heavy legacy bank to a digital-first institution with 23M digitally active customers and 9,000 in-house engineering hires. The strategic initiative revenue target of £2B by 2026 represents new revenue streams from digitally-enabled financial services. Score: 1 point (some flexibility, ongoing transformation), display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Nunn's decision to hire 9,000 in-house tech engineers—internalizing capability previously outsourced—required multi-year investment against short-term cost pressure. The Cambridge partnership for executive AI training signals institutional commitment to human capability over headcount reduction. Score: 1 point (some courageous decisions), display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Lloyds offers an exceptionally high-quality dividend story at a low valuation: ~7.5x forward P/E, ~5% dividend yield, £1.75B share buyback (6% of market cap), and RoTE guidance upgraded to &gt;16% in 2026[1]. The structural hedge income uplift from ~£5.5B to ~£8B by 2027 provides multi-year NII visibility that most bank investors cannot find elsewhere. AI transformation is generating measurable P&amp;L value (£50M in 2025, £100M+ targeted for 2026) making it an AI dividend bank—rare combination of yield and technology investment.</w:t>
      </w:r>
    </w:p>
    <w:p>
      <w:pPr>
        <w:spacing w:after="120"/>
      </w:pPr>
      <w:r>
        <w:rPr>
          <w:rFonts w:ascii="Calibri" w:hAnsi="Calibri"/>
          <w:b w:val="0"/>
          <w:color w:val="3A4A28"/>
          <w:sz w:val="20"/>
        </w:rPr>
        <w:t>The bear case centers on the motor finance commission scandal, where the FCA review has already triggered £1.95B in provisions but the final liability is genuinely uncertain—management acknowledges it 'may materially differ' from current estimates[1]. If the ultimate liability approaches £3-4B (upper analyst estimates), the dividend increase and buyback may need to be reversed. Additionally, the underlying impairment charge jumped 84% to £795M in 2025, and the asset quality ratio is guided to rise to 0.25% in 2026—suggesting the credit cycle is turning. The ADR structure (NYSE: LYG) adds currency risk for U.S. investors as GBP/USD fluctuations affect dividend payments.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FCA motor finance review conclusion providing clarity on the final liability (ideally below current £1.95B provision), removing the single largest overhang</w:t>
      </w:r>
    </w:p>
    <w:p>
      <w:pPr>
        <w:spacing w:before="40" w:after="40"/>
        <w:ind w:left="283"/>
      </w:pPr>
      <w:r>
        <w:rPr>
          <w:rFonts w:ascii="Calibri" w:hAnsi="Calibri"/>
          <w:b/>
          <w:color w:val="4A6B25"/>
          <w:sz w:val="20"/>
        </w:rPr>
        <w:t xml:space="preserve">2. </w:t>
      </w:r>
      <w:r>
        <w:rPr>
          <w:rFonts w:ascii="Calibri" w:hAnsi="Calibri"/>
          <w:b w:val="0"/>
          <w:color w:val="3A4A28"/>
          <w:sz w:val="20"/>
        </w:rPr>
        <w:t>Structural hedge income reaching £7B in 2026 (guided), significantly above 2025's £5.5B, driving NII growth that exceeds consensus</w:t>
      </w:r>
    </w:p>
    <w:p>
      <w:pPr>
        <w:spacing w:before="40" w:after="40"/>
        <w:ind w:left="283"/>
      </w:pPr>
      <w:r>
        <w:rPr>
          <w:rFonts w:ascii="Calibri" w:hAnsi="Calibri"/>
          <w:b/>
          <w:color w:val="4A6B25"/>
          <w:sz w:val="20"/>
        </w:rPr>
        <w:t xml:space="preserve">3. </w:t>
      </w:r>
      <w:r>
        <w:rPr>
          <w:rFonts w:ascii="Calibri" w:hAnsi="Calibri"/>
          <w:b w:val="0"/>
          <w:color w:val="3A4A28"/>
          <w:sz w:val="20"/>
        </w:rPr>
        <w:t>Gen AI benefits reaching £100M+ in 2026 as agentic AI scales across customer service and operations, supporting the cost-income ratio &lt;50% target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Motor finance commission liability exceeding £3B in FCA ruling, potentially requiring dividend cut or buyback cancellation</w:t>
      </w:r>
    </w:p>
    <w:p>
      <w:pPr>
        <w:spacing w:before="40" w:after="40"/>
        <w:ind w:left="283"/>
      </w:pPr>
      <w:r>
        <w:rPr>
          <w:rFonts w:ascii="Calibri" w:hAnsi="Calibri"/>
          <w:b/>
          <w:color w:val="4A6B25"/>
          <w:sz w:val="20"/>
        </w:rPr>
        <w:t xml:space="preserve">2. </w:t>
      </w:r>
      <w:r>
        <w:rPr>
          <w:rFonts w:ascii="Calibri" w:hAnsi="Calibri"/>
          <w:b w:val="0"/>
          <w:color w:val="3A4A28"/>
          <w:sz w:val="20"/>
        </w:rPr>
        <w:t>UK economic recession triggered by trade policy uncertainty reducing mortgage origination, credit card spend, and commercial lending</w:t>
      </w:r>
    </w:p>
    <w:p>
      <w:pPr>
        <w:spacing w:before="40" w:after="40"/>
        <w:ind w:left="283"/>
      </w:pPr>
      <w:r>
        <w:rPr>
          <w:rFonts w:ascii="Calibri" w:hAnsi="Calibri"/>
          <w:b/>
          <w:color w:val="4A6B25"/>
          <w:sz w:val="20"/>
        </w:rPr>
        <w:t xml:space="preserve">3. </w:t>
      </w:r>
      <w:r>
        <w:rPr>
          <w:rFonts w:ascii="Calibri" w:hAnsi="Calibri"/>
          <w:b w:val="0"/>
          <w:color w:val="3A4A28"/>
          <w:sz w:val="20"/>
        </w:rPr>
        <w:t>GBP depreciation versus USD reducing ADR dividend payments and NAV for U.S. investors holding LYG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Lloyds is one of the most aggressive AI deployers among major global banks, which both protects and positions it in the AI disruption landscape. The bank's 50+ live gen AI use cases and £50M measured P&amp;L benefit demonstrate that AI is enabling Lloyds to reduce costs and improve customer service—making AI a competitive advantage rather than a threat[2]. The primary disruption risk is fintech competitors using AI to offer banking services with lower overhead, but Lloyds's regulatory capital requirements, deposit insurance coverage, and mortgage market share (#1 UK) create structural moats. The HM Treasury recognition of Lloyds's Head of AI as an 'AI Champion' validates the quality of its approach. Risk protection: 7 (PROTECTED—regulated banking moats with AI as enabler). AI opportunity: 0 (AI benefits internal operations; not external revenue). Total: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Lloyds Banking Group Full Year 2025 Results and 2026 Guidance Upgrade, AlphaStreet, January 2026</w:t>
      </w:r>
    </w:p>
    <w:p>
      <w:pPr>
        <w:spacing w:before="20" w:after="20"/>
        <w:ind w:left="170"/>
      </w:pPr>
      <w:r>
        <w:rPr>
          <w:rFonts w:ascii="Calibri" w:hAnsi="Calibri"/>
          <w:b/>
          <w:color w:val="4A6B25"/>
          <w:sz w:val="15"/>
        </w:rPr>
        <w:t xml:space="preserve">2. </w:t>
      </w:r>
      <w:r>
        <w:rPr>
          <w:rFonts w:ascii="Calibri" w:hAnsi="Calibri"/>
          <w:b w:val="0"/>
          <w:color w:val="3A4A28"/>
          <w:sz w:val="17"/>
        </w:rPr>
        <w:t>Lloyds Banking Group AI Targets 2026 — £100M Value, FStech, 2026</w:t>
      </w:r>
    </w:p>
    <w:p>
      <w:pPr>
        <w:spacing w:before="20" w:after="20"/>
        <w:ind w:left="170"/>
      </w:pPr>
      <w:r>
        <w:rPr>
          <w:rFonts w:ascii="Calibri" w:hAnsi="Calibri"/>
          <w:b/>
          <w:color w:val="4A6B25"/>
          <w:sz w:val="15"/>
        </w:rPr>
        <w:t xml:space="preserve">3. </w:t>
      </w:r>
      <w:r>
        <w:rPr>
          <w:rFonts w:ascii="Calibri" w:hAnsi="Calibri"/>
          <w:b w:val="0"/>
          <w:color w:val="3A4A28"/>
          <w:sz w:val="17"/>
        </w:rPr>
        <w:t>Lloyds Banking Group Digital and AI Investor Seminar Transcript, November 2025</w:t>
      </w:r>
    </w:p>
    <w:p>
      <w:pPr>
        <w:spacing w:before="20" w:after="20"/>
        <w:ind w:left="170"/>
      </w:pPr>
      <w:r>
        <w:rPr>
          <w:rFonts w:ascii="Calibri" w:hAnsi="Calibri"/>
          <w:b/>
          <w:color w:val="4A6B25"/>
          <w:sz w:val="15"/>
        </w:rPr>
        <w:t xml:space="preserve">4. </w:t>
      </w:r>
      <w:r>
        <w:rPr>
          <w:rFonts w:ascii="Calibri" w:hAnsi="Calibri"/>
          <w:b w:val="0"/>
          <w:color w:val="3A4A28"/>
          <w:sz w:val="17"/>
        </w:rPr>
        <w:t>Fintech Times — Lloyds Targets Over £100M from Next-Gen AI,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LYG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