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LZ</w:t>
      </w:r>
      <w:r>
        <w:rPr>
          <w:rFonts w:ascii="Calibri" w:hAnsi="Calibri"/>
          <w:b/>
          <w:color w:val="1A2010"/>
          <w:sz w:val="40"/>
        </w:rPr>
        <w:t xml:space="preserve">  LegalZoom.com,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27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Business Services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LegalZoom is a leading online platform for legal, compliance, and business formation services, helping small businesses with LLC formation, trademark registration, estate planning, and ongoing compliance.</w:t>
      </w:r>
    </w:p>
    <w:p>
      <w:r>
        <w:rPr>
          <w:rFonts w:ascii="Calibri" w:hAnsi="Calibri"/>
          <w:b/>
          <w:color w:val="6E8450"/>
          <w:sz w:val="18"/>
        </w:rPr>
        <w:t>1,196 Employees · https://www.legalzoom.com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growth of 17.7% YoY shows steady but unspectacular execution in online legal services [1]. AI Deployment (1/2): Deploying AI for document automation and customer service but no breakthrough AI products shipping. Market Share (2/2): Category leader in online legal services for small businesses, dominant brand recognition [1]. Pipeline (0/2): Limited pipeline visibility. R&amp;D Intensity (1/1): Above-average tech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to make legal and business services accessible. Community Impact (1/2): Enables small business formation. Employee Retention (0/2): 1,196 employees, no data. Insider Buying (1/2): Some insider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LZ shows weak financials despite revenue growth. Forward P/E of 7.44 is attractive, but profit margin of 2.0% is very low, ROE of 11.6% below target [1]. D/E of 8.4% is conservative. Revenue growth of 17.7% is solid but earnings growth is negative at -57.9%. Liquidity cleared at $21.2M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LegalZoom has a genuine mission to democratize legal services but faces existential AI disruption threats.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 pt → 4/10): Making legal services accessible is genuine but not deeply distinctive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 pts → 3/10)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Expanded from formation to compliance/subscriptions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(0 pts → 2/10)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LegalZoom is the category leader in online legal services with 17.7% revenue growth and a conservative balance sheet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AI disruption is the critical risk — AI legal tools are increasingly capable of handling LZ's core document and formation services, threatening the business model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Subscription revenue growth from compliance services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7.44 suggests deep value if growth sustains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Small business formation recovery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disruption from ChatGPT, Claude, and other AI legal tools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Thin profit margins of 2.0% leave no margin for error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Earnings decline of 57.9% YoY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LegalZoom faces significant AI disruption risk — AI legal tools (ChatGPT, Claude, Google Gemini) can increasingly handle document drafting, business formation, and compliance tasks that are LZ's core revenue [1]. The brand and user base provide some protection but the moat is narrowing. AI Opportunity (0/1): No AI revenue generation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LZ (LegalZoom),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