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MAA</w:t>
      </w:r>
      <w:r>
        <w:rPr>
          <w:rFonts w:ascii="Calibri" w:hAnsi="Calibri"/>
          <w:b/>
          <w:color w:val="1A2010"/>
          <w:sz w:val="40"/>
        </w:rPr>
        <w:t xml:space="preserve">  Mid-America Apartment Communities,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2026-05-06 · Inspire: 36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Residential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Mid-America Apartment Communities is an S&amp;P 500 REIT focused on owning, managing, acquiring, developing, and redeveloping quality apartment communities primarily in the Southeast, Southwest, and Mid-Atlantic regions of the United States. As of December 2025, MAA had ownership interest in 104,945 apartment units across 16 states and the District of Columbia.</w:t>
      </w:r>
    </w:p>
    <w:p>
      <w:r>
        <w:rPr>
          <w:rFonts w:ascii="Calibri" w:hAnsi="Calibri"/>
          <w:b/>
          <w:color w:val="6E8450"/>
          <w:sz w:val="18"/>
        </w:rPr>
        <w:t>2,507 Employees · https://www.maac.com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MAA is deploying technology initiatives to differentiate its apartment platform, including a WiFi initiative rolling out to 35+ properties in 2026 expected to generate $3M in incremental revenue with compounding impact into 2027 [1]. The company is integrating AI for predictive analytics, smart home features, and chatbot-driven resident services to improve operational efficiency and tenant experience [3]. However, apartment REITs are fundamentally real estate businesses — innovation is incremental (revenue management algorithms, tech-enabled amenities) rather than transformative, and MAA's technology investments lag dedicated proptech platforms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MAA promotes a people-first culture rooted in trust, collaboration, and internal mobility, with over 230 associates earning promotions in 2024 and benefits including 401(k) matching, tuition reimbursement, and housing discounts [3]. The leadership transition to CEO Brad Hill in late 2023 has maintained strategic continuity under Chairman Eric Bolton's oversight [3]. The company's commitment to quality sunbelt apartments serves essential housing needs, though the mission is more financial ('full-cycle superior investment performance') than purpose-driven, limiting inspirational resonance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MAA's financial infrastructure reflects a mature, well-managed REIT: FY2025 revenue of $2.21B with 58.5% gross margins and EBITDA of $1.24B, supporting $909M in free cash flow [2]. The 4.7% dividend yield is backed by 30 consecutive years of dividend payments and 5 consecutive years of growth at an 8.3% five-year CAGR [2]. Debt-to-equity of 99.8% is typical for REITs, though the GAAP payout ratio of 184% (vs. ~72% on FFO basis) and forward P/E of 33.5x reflect the premium pricing of defensive apartment REITs during a supply normalization cycle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MAA demonstrates infinite game characteristics through its 30-year dividend track record, continued development investment through supply cycle headwinds, and people-first culture emphasizing internal mobility. The company's sunbelt apartment focus reflects a multi-decade demographic bet rather than quarterly optimization.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Providing quality, accessible apartment housing in high-growth sunbelt markets addresses a genuine societal need as migration patterns and affordability challenges reshape U.S. demographics [1][2]. MAA's 104,945-unit portfolio across 16 states serves a broad, inclusive population. However, the stated mission emphasizes 'superior investment performance' over community impact, limiting the Just Cause ceiling compared to mission-first organizations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MAA's people-first culture delivers measurable results: 230+ promotions in 2024 alone, competitive benefits including housing discounts and tuition reimbursement, and a collaborative environment consistently emphasized in company communications [3]. The 2,507-person workforce operates across 16 states, requiring distributed trust that appears well-maintained through consistent policies and internal mobility pathways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MAA competes directly with AvalonBay, Equity Residential, Camden Property Trust, and UDR in the apartment REIT space. The company has differentiated through sunbelt geographic focus during a decade when southeastern population growth outpaced coastal markets, demonstrating competitive learning by leaning into demographic tailwinds that rivals were slower to exploit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MAA has shown incremental flexibility through WiFi monetization ($3M in 2026, scaling into 2027), smart home integrations, and exploration of build-to-rent adjacent strategies [1]. However, the company remains fundamentally a sunbelt apartment REIT — there has been no existential pivot or reimagination of the business model, which is both a strength (focus) and a limitation (flexibility) in the infinite game framework.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MAA has continued investing in development (104,945 units with active pipeline) and maintained dividend growth through a challenging 2023-2025 supply cycle that compressed same-store revenue growth to near-zero [1]. The decision to raise the dividend from $4.10 to $6.12 annually (+49%) during a period of declining net income ($637M to $447M) demonstrates conviction in the long-term thesis over short-term earnings optics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MAA offers a compelling income thesis with a 4.7% dividend yield backed by 30 consecutive years of payments and a five-year 8.3% CAGR in dividend growth [2]. Q1 2026 results beat expectations with core FFO of $2.13/share (above guidance), 95.5% occupancy, and management reaffirming full-year core FFO guidance of $8.37-$8.69 [1]. The sunbelt supply cycle is inflecting favorably — new apartment deliveries peaked in 2024-2025, and moderating supply in 2026-2027 should restore pricing power across MAA's 104,945-unit portfolio [1]. The WiFi initiative and smart home integrations provide incremental revenue upside with minimal capital intensity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elevated valuation and muted near-term growth. Forward P/E of 33.5x and PEG of 7.0 price in significant premium for a company guiding flat same-store effective rent growth in 2026 [1][2]. Net income declined from $637M in 2022 to $447M in 2025 (-30%), and the GAAP payout ratio of 184% exceeds earnings — sustainable only because REIT FFO significantly exceeds net income due to depreciation [2]. Debt-to-equity of 99.8% with $5.7B in total debt creates interest rate sensitivity in a higher-for-longer environment, and sunbelt markets face growing competition from build-to-rent single-family housing that could pressure apartment demand at the margin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Sunbelt apartment supply cycle inflecting: 2026-2027 deliveries declining from 2024-2025 peaks, restoring occupancy and rent growth pricing power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WiFi and smart home technology rollout across 35+ properties generating incremental revenue with compounding returns into 2027-2028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sunbelt population migration from higher-cost coastal markets supporting long-term demand fundamentals across MAA's 16-state footprint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Forward P/E of 33.5x and PEG of 7.0 reflect premium valuation for flat near-term same-store rent growth, limiting upside potential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Total debt of $5.7B with 99.8% debt-to-equity creates meaningful interest rate sensitivity if rates remain elevated or rise further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Build-to-rent single-family housing competition intensifying in sunbelt markets, potentially capping apartment demand recovery and rent growth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presents moderate opportunity for MAA in property management optimization — predictive maintenance, dynamic pricing algorithms, automated leasing workflows, and smart home integrations are being deployed across the portfolio [3]. The company itself has identified falling behind on AI and technology upgrades as a 'material risk' in regulatory filings, indicating management takes the threat seriously [3]. However, apartment REITs face limited direct AI disruption risk — physical real estate cannot be digitized or automated away, and AI primarily serves as an operational efficiency tool. The primary risk is competitors adopting AI-driven property management faster, compressing MAA's operating advantage in resident experience and cost control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Mid-America Apartment Communities Q1 2026 Earnings Call and Q4/FY2025 Results, April-May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MAA key statistics,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MAA AI and technology strategy, Glassdoor culture reviews, and TipRanks risk disclosures,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MAA Sustainability and ESG overview, investor relations page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