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MAC</w:t>
      </w:r>
      <w:r>
        <w:rPr>
          <w:rFonts w:ascii="Calibri" w:hAnsi="Calibri"/>
          <w:b/>
          <w:color w:val="1A2010"/>
          <w:sz w:val="40"/>
        </w:rPr>
        <w:t xml:space="preserve">  Macerich Company (The)</w:t>
      </w:r>
    </w:p>
    <w:p>
      <w:pPr>
        <w:spacing w:after="120"/>
      </w:pPr>
      <w:r>
        <w:rPr>
          <w:rFonts w:ascii="Calibri" w:hAnsi="Calibri"/>
          <w:b/>
          <w:color w:val="6E8450"/>
          <w:sz w:val="18"/>
        </w:rPr>
        <w:t>DIVIDEND SLEEVE · 2026-04-20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Macerich is a fully integrated, self-managed, self-administered real estate investment trust (REIT). As a leading owner, operator, and developer of high-quality retail real estate in densely populated and attractive U.S. markets, Macerich's portfolio is concentrated in California, the Pacific Northwest, Phoenix/Scottsdale, and the Metro New York to Washington, D.C. corridor, currently owning 39 million square feet across 38 retail centers.</w:t>
      </w:r>
    </w:p>
    <w:p>
      <w:r>
        <w:rPr>
          <w:rFonts w:ascii="Calibri" w:hAnsi="Calibri"/>
          <w:b/>
          <w:color w:val="6E8450"/>
          <w:sz w:val="18"/>
        </w:rPr>
        <w:t>596 Employees · https://www.macerich.com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Macerich has pursued mixed-use redevelopment at select properties, converting underperforming retail into residential, office, and dining, but these projects are incremental rather than transformative [1]. AI Deployment (0/2): No evidence of AI-powered products or measurable AI-driven cost savings; the company has not disclosed any AI initiatives in earnings calls [2]. Market Share Leadership (1/2): Macerich owns Class A malls in top-tier U.S. markets with high barriers to entry, but is not gaining share — the portfolio has shrunk from 47 to 38 properties since 2019 [1]. Product Pipeline (1/2): Management's 'Path Forward Plan' projects $30M incremental contribution in 2026 and $40-50M by 2028 from signed leasing activity, but timelines are vague on redevelopment completions [2]. R&amp;D Intensity (0/1): REITs do not have traditional R&amp;D spend; Macerich's capex is maintenance-oriented.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Macerich's stated purpose is 'Creating Properties with Purpose' and being 'firmly dedicated to advancing environmental goals, social good and sound corporate governance' — clear but not distinctive, essentially describing responsible REIT management without a transformative vision [3]. Community Impact (1/2): MacImpact program encompasses sustainability, DEIB, and social impact; $100M invested in energy efficiency and renewables since 2008, and #1 GRESB ranking for U.S. retail for 10 consecutive years, though specific charitable dollar amounts beyond energy investment are limited [4]. Employee Retention (0/2): Only 596 employees; Glassdoor rating of 3.5/5 with reviews citing 'terrible culture' and 'senior leadership driving people away' under new management; no evidence of above-average retention [5]. Insider Buying (1/2): Director Devin Murphy purchased $114,800 in shares in March 2025, but this was offset by sales from Director Lowenthal ($102,780) and Officer Zecchini ($163,068), resulting in net selling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Macerich's financial infrastructure is strained across nearly every metric. D/E of 203% reflects heavy REIT leverage well above the 70% target [7]. ROE is negative at -7.5%, profit margin is -18.9%, and revenue declined 17.4% YoY, all scoring zero [1][7]. The one bright spot is 32 consecutive years of dividend payments (since 1994), scoring perfectly, and modest 3.2% five-year dividend growth CAGR [6]. However, the payout ratio of 189% is unsustainable and the dividend growth streak was broken by the 2020 cut from $3.00 to $0.60 [6]. Forward P/E is excluded due to negative earnings. Liquidity passes at $48.4M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Macerich shows elements of long-term thinking through its 30+ year dividend history and commitment to ESG leadership, but the 2020 dividend cut, revolving CEO door, and finite-oriented language around 'Path Forward Plan' milestones suggest a company playing to survive rather than playing to endure. The recent CEO transition to Jackson Hsieh in 2024 represents the third leadership change in a decade, undermining organizational continuity.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'Creating Properties with Purpose' is a purpose statement that exists but reads as marketing — it could apply to any REIT. Leadership references it in corporate responsibility materials but strategic decisions (asset sales, dividend cuts) are driven by financial necessity rather than an articulated vision of a better future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Macerich's small workforce of 596 employees has adequate stability but Glassdoor reviews (3.5/5) reveal concerns about new leadership 'changing things people loved' and 'driving people away.' The culture rating of 3.6/5 is middling, suggesting adequate but not exceptional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Macerich's competitive language focuses on 'leading owner, operator, and developer' positioning and portfolio quality rankings rather than learning from rivals. Management does not reference competitors like Simon Property Group or Brookfield as worthy rivals whose strengths inform self-improvement — the framing is about market position and winning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Macerich has shown incremental flexibility by converting underperforming retail into mixed-use developments (residential, office, dining) and selling non-core assets to reduce leverage. These are adaptive responses to industry shifts rather than transformative reinvention — the company remains fundamentally a retail REIT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cut the dividend by 80% in 2020 and maintain a lower payout while investing in redevelopment showed willingness to sacrifice short-term income for balance sheet health. However, the $100M ESG investment since 2008 and net-zero-by-2035 commitment demonstrate some long-term thinking, though these are increasingly table-stakes for large REITs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Macerich offers exposure to Class A retail real estate in top-tier U.S. markets (California, Pacific Northwest, Metro NYC-DC corridor) at a significant discount to NAV, with shares trading at $22.30 against properties in affluent, high-barrier-to-entry locations [1][7]. The 'Path Forward Plan' targets $30M incremental contribution in 2026 growing to $45-50M by 2028 from signed leasing, and the 3.05% dividend yield provides income while investors wait for the turnaround to materialize [2]. GRESB #1 ranking for 10 consecutive years in U.S. retail and net-zero-by-2035 commitment position the company well for ESG-focused capital flows [4].</w:t>
      </w:r>
    </w:p>
    <w:p>
      <w:pPr>
        <w:spacing w:after="120"/>
      </w:pPr>
      <w:r>
        <w:rPr>
          <w:rFonts w:ascii="Calibri" w:hAnsi="Calibri"/>
          <w:b w:val="0"/>
          <w:color w:val="3A4A28"/>
          <w:sz w:val="20"/>
        </w:rPr>
        <w:t>The bear case centers on deeply negative fundamentals: -18.9% profit margin, -7.5% ROE, 203% D/E ratio, and a 189% payout ratio that makes the current dividend mathematically unsustainable without improvement [7]. Revenue declined 17.4% YoY, the third CEO in a decade signals strategic instability, and the structural shift toward e-commerce continues to pressure mall-based retail despite Class A positioning [1][2]. With negative forward EPS and no clear path to GAAP profitability, the REIT structure that forces dividend payments from depleting FFO creates a value trap risk that could result in another dividend cut.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Forward Plan delivering $30M incremental NOI in 2026 from signed leasing activity, validating the turnaround thesis and potentially restoring positive earnings</w:t>
      </w:r>
    </w:p>
    <w:p>
      <w:pPr>
        <w:spacing w:before="40" w:after="40"/>
        <w:ind w:left="283"/>
      </w:pPr>
      <w:r>
        <w:rPr>
          <w:rFonts w:ascii="Calibri" w:hAnsi="Calibri"/>
          <w:b/>
          <w:color w:val="4A6B25"/>
          <w:sz w:val="20"/>
        </w:rPr>
        <w:t xml:space="preserve">2. </w:t>
      </w:r>
      <w:r>
        <w:rPr>
          <w:rFonts w:ascii="Calibri" w:hAnsi="Calibri"/>
          <w:b w:val="0"/>
          <w:color w:val="3A4A28"/>
          <w:sz w:val="20"/>
        </w:rPr>
        <w:t>Mixed-use redevelopment completions converting underperforming retail into residential and dining, diversifying revenue streams and increasing property values in high-demand urban markets</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reducing refinancing costs on the $4.8B debt load, directly improving FFO and making the dividend more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189% is unsustainable — if FFO does not improve by 2027, a second dividend cut becomes likely, potentially triggering a 20-30% share price decline as income investors exit</w:t>
      </w:r>
    </w:p>
    <w:p>
      <w:pPr>
        <w:spacing w:before="40" w:after="40"/>
        <w:ind w:left="283"/>
      </w:pPr>
      <w:r>
        <w:rPr>
          <w:rFonts w:ascii="Calibri" w:hAnsi="Calibri"/>
          <w:b/>
          <w:color w:val="4A6B25"/>
          <w:sz w:val="20"/>
        </w:rPr>
        <w:t xml:space="preserve">2. </w:t>
      </w:r>
      <w:r>
        <w:rPr>
          <w:rFonts w:ascii="Calibri" w:hAnsi="Calibri"/>
          <w:b w:val="0"/>
          <w:color w:val="3A4A28"/>
          <w:sz w:val="20"/>
        </w:rPr>
        <w:t>Third CEO in a decade (Jackson Hsieh appointed March 2024) creates strategic execution risk; 'Path Forward Plan' targets could be revised or abandoned under new leadership priorities</w:t>
      </w:r>
    </w:p>
    <w:p>
      <w:pPr>
        <w:spacing w:before="40" w:after="40"/>
        <w:ind w:left="283"/>
      </w:pPr>
      <w:r>
        <w:rPr>
          <w:rFonts w:ascii="Calibri" w:hAnsi="Calibri"/>
          <w:b/>
          <w:color w:val="4A6B25"/>
          <w:sz w:val="20"/>
        </w:rPr>
        <w:t xml:space="preserve">3. </w:t>
      </w:r>
      <w:r>
        <w:rPr>
          <w:rFonts w:ascii="Calibri" w:hAnsi="Calibri"/>
          <w:b w:val="0"/>
          <w:color w:val="3A4A28"/>
          <w:sz w:val="20"/>
        </w:rPr>
        <w:t>Continued secular shift to e-commerce and experiential retail could reduce tenant demand, with anchor store closures or rent concessions further compressing NOI across the 38-property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Macerich's core business — owning and operating physical retail real estate in densely populated U.S. markets — is structurally immune to AI displacement. Malls are physical infrastructure assets; AI cannot replicate the in-person shopping, dining, and entertainment experiences that drive foot traffic [1]. The primary risk to Macerich is e-commerce, not AI specifically, and the company's Class A properties in affluent markets have proven more resilient to online retail penetration than lower-tier malls. No analysts have flagged AI as a substitution risk for premium retail REITs. AI Opportunity (0/1): No evidence of AI-driven revenue generation. Macerich has not deployed AI products for tenants or customers, nor reported AI-related efficiency gains in property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Macerich Company 10-K Annual Report, FY2025</w:t>
      </w:r>
    </w:p>
    <w:p>
      <w:pPr>
        <w:spacing w:before="20" w:after="20"/>
        <w:ind w:left="170"/>
      </w:pPr>
      <w:r>
        <w:rPr>
          <w:rFonts w:ascii="Calibri" w:hAnsi="Calibri"/>
          <w:b/>
          <w:color w:val="4A6B25"/>
          <w:sz w:val="15"/>
        </w:rPr>
        <w:t xml:space="preserve">2. </w:t>
      </w:r>
      <w:r>
        <w:rPr>
          <w:rFonts w:ascii="Calibri" w:hAnsi="Calibri"/>
          <w:b w:val="0"/>
          <w:color w:val="3A4A28"/>
          <w:sz w:val="17"/>
        </w:rPr>
        <w:t>Macerich Q4 2025 Earnings Call Highlights, February 2026</w:t>
      </w:r>
    </w:p>
    <w:p>
      <w:pPr>
        <w:spacing w:before="20" w:after="20"/>
        <w:ind w:left="170"/>
      </w:pPr>
      <w:r>
        <w:rPr>
          <w:rFonts w:ascii="Calibri" w:hAnsi="Calibri"/>
          <w:b/>
          <w:color w:val="4A6B25"/>
          <w:sz w:val="15"/>
        </w:rPr>
        <w:t xml:space="preserve">3. </w:t>
      </w:r>
      <w:r>
        <w:rPr>
          <w:rFonts w:ascii="Calibri" w:hAnsi="Calibri"/>
          <w:b w:val="0"/>
          <w:color w:val="3A4A28"/>
          <w:sz w:val="17"/>
        </w:rPr>
        <w:t>Macerich Corporate Responsibility — Creating Properties with Purpose, macerich.com</w:t>
      </w:r>
    </w:p>
    <w:p>
      <w:pPr>
        <w:spacing w:before="20" w:after="20"/>
        <w:ind w:left="170"/>
      </w:pPr>
      <w:r>
        <w:rPr>
          <w:rFonts w:ascii="Calibri" w:hAnsi="Calibri"/>
          <w:b/>
          <w:color w:val="4A6B25"/>
          <w:sz w:val="15"/>
        </w:rPr>
        <w:t xml:space="preserve">4. </w:t>
      </w:r>
      <w:r>
        <w:rPr>
          <w:rFonts w:ascii="Calibri" w:hAnsi="Calibri"/>
          <w:b w:val="0"/>
          <w:color w:val="3A4A28"/>
          <w:sz w:val="17"/>
        </w:rPr>
        <w:t>Macerich 2023 Corporate Responsibility Report — GRESB #1 U.S. Retail, $100M energy investment</w:t>
      </w:r>
    </w:p>
    <w:p>
      <w:pPr>
        <w:spacing w:before="20" w:after="20"/>
        <w:ind w:left="170"/>
      </w:pPr>
      <w:r>
        <w:rPr>
          <w:rFonts w:ascii="Calibri" w:hAnsi="Calibri"/>
          <w:b/>
          <w:color w:val="4A6B25"/>
          <w:sz w:val="15"/>
        </w:rPr>
        <w:t xml:space="preserve">5. </w:t>
      </w:r>
      <w:r>
        <w:rPr>
          <w:rFonts w:ascii="Calibri" w:hAnsi="Calibri"/>
          <w:b w:val="0"/>
          <w:color w:val="3A4A28"/>
          <w:sz w:val="17"/>
        </w:rPr>
        <w:t>Glassdoor — Macerich Reviews (203 reviews), 3.5/5 rating,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MAC insider transactions and dividend history,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MAC key statistics (D/E 203%, ROE -7.5%, profit margin -18.9%),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