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MARA</w:t>
      </w:r>
      <w:r>
        <w:rPr>
          <w:rFonts w:ascii="Calibri" w:hAnsi="Calibri"/>
          <w:b/>
          <w:color w:val="1A2010"/>
          <w:sz w:val="40"/>
        </w:rPr>
        <w:t xml:space="preserve">  MARA Holdings, Inc.</w:t>
      </w:r>
    </w:p>
    <w:p>
      <w:pPr>
        <w:spacing w:after="120"/>
      </w:pPr>
      <w:r>
        <w:rPr>
          <w:rFonts w:ascii="Calibri" w:hAnsi="Calibri"/>
          <w:b/>
          <w:color w:val="6E8450"/>
          <w:sz w:val="18"/>
        </w:rPr>
        <w:t>GROWTH SLEEVE · 2026-04-01 · Inspire: 43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Capital Markets · NASDAQ · United States</w:t>
      </w:r>
    </w:p>
    <w:p>
      <w:pPr>
        <w:spacing w:after="80"/>
      </w:pPr>
      <w:r>
        <w:rPr>
          <w:rFonts w:ascii="Calibri" w:hAnsi="Calibri"/>
          <w:b w:val="0"/>
          <w:color w:val="3A4A28"/>
          <w:sz w:val="20"/>
        </w:rPr>
        <w:t>MARA Holdings (formerly Marathon Digital Holdings) is a digital asset technology company and one of the largest publicly traded Bitcoin miners in the world, operating across four continents. The company is the second-largest corporate holder of Bitcoin and is executing a strategic pivot from pure-play mining to a vertically integrated digital infrastructure platform spanning energy, Bitcoin, and artificial intelligence computing.</w:t>
      </w:r>
    </w:p>
    <w:p>
      <w:r>
        <w:rPr>
          <w:rFonts w:ascii="Calibri" w:hAnsi="Calibri"/>
          <w:b/>
          <w:color w:val="6E8450"/>
          <w:sz w:val="18"/>
        </w:rPr>
        <w:t>266 Employees · https://www.mara.com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MARA has executed multiple pivots — from patent holding company to Bitcoin miner to the largest publicly traded mining operation, and now pivoting toward AI/digital infrastructure with the Exaion acquisition for enterprise AI and HPC capabilities and a joint venture with Starwood Digital Ventures [1][2]. The proprietary two-phase immersion cooling (2PIC) technology received its first external orders, and the launch of 25 MW micro data centers mining Bitcoin using flare gas at $0.01/kWh demonstrates operational innovation [2]. AI Deployment (1/2): The Exaion acquisition provides AI and HPC computing capabilities, and MARA is exploring AI infrastructure services, but these are early-stage with no quantified AI revenue yet [2]. Market Share (2/2): MARA is the largest publicly traded Bitcoin miner by hash rate (targeting 75 EH/s by end of 2025) and the second-largest corporate Bitcoin holder, with operations spanning four continents and a market cap of ~$3B [1][2]. Pipeline (1/2): The AI/digital infrastructure pivot via Starwood JV and Exaion is announced but timelines and revenue visibility remain vague; the BTC mining expansion to 75 EH/s has clearer milestones [2]. R&amp;D Intensity (1/1): Proprietary innovations in immersion cooling technology, miner firmware optimization, and micro data center design demonstrate above-average R&amp;D investment for a mining company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MARA's stated purpose is generic — 'building a more sustainable and inclusive digital future' — which is boilerplate language interchangeable with any crypto/tech company and not validated by the company's actual behavior (coal plant mining, community health complaints, $1.1B BTC liquidation) [2][3]. The company has changed its identity three times (patent holding → mining → digital infrastructure), making it impossible to identify a stable cause. Community Impact (0/2): MARA faces active community opposition — Time magazine investigated numerous noise and health complaints from residents of Granbury, Texas near a Marathon mining facility, and a federal judge denied Marathon's attempt to block community incorporation efforts to regulate its operations [5]. The coal-powered Hardin, Montana mining venture drew SEC subpoenas and investor lawsuits [5]. Employee Retention (0/2): No publicly available data on employee retention, turnover, or satisfaction for the 266-person company. Insider Buying (0/2): Net insider selling with no significant buying detected; the company's $1.1B Bitcoin liquidation in early 2026 signals treasury pressure rather than insider confidence [1][3].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MARA's financial profile reflects the extreme volatility of Bitcoin-dependent businesses. D/E of 104.8% scores 0.85 (1x weight), reflecting $2.2B in convertible note debt used to fund BTC purchases [6]. ROE of -34.46% is deeply negative, scoring 0.0 (2x weight), driven by a $1.7B Q4 2025 net loss from unrealized Bitcoin impairment and network difficulty increases [1][6]. Revenue growth of -5.6% YoY (most recent quarter) scores 0.48 (1x weight), though full-year FY2025 revenue was up 38% to $907M [1][6]. Profit margin of -144.58% is catastrophically negative, scoring 0.0 (1x weight), as energy costs consumed nearly 80% of gross revenue by mid-2025 [1][6]. Forward P/E is negative (forward EPS of -$1.22) and excluded. PEG and 5-year CAGR unavailable and excluded. Production costs peaked at over $52,000 per BTC. Liquidity floor easily cleared: 47.7M avg vol x $8.10 = $386.4M [6]. Calculated mechanically: weighted sum 1.33 / max weight 5.0 = 3/10.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MARA operates with a predominantly finite mindset. The company has changed its identity three times in 15 years (patent holding → Bitcoin mining → digital infrastructure), chasing the most profitable trend of the moment rather than pursuing an enduring cause. The $1.1B Bitcoin liquidation, convertible note debt to fund BTC purchases (mimicking MicroStrategy's playbook), and reactive AI pivot all suggest a company playing to win this cycle rather than playing to keep playing. While the existential flexibility is impressive, Sinek would question whether the pivots are cause-driven or desperation-driven.</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MARA has no discernible Just Cause in Sinek's framework. The company's purpose has shifted from patent monetization to 'building the digital infrastructure of the future' to 'vertically integrated digital infrastructure spanning energy, Bitcoin, and AI' — each iteration driven by market opportunity rather than an enduring vision of a better future [2]. CEO Thiel is described as 'the Michael Saylor of the Bitcoin mining industry,' which frames the mission as Bitcoin accumulation rather than a cause worth sacrificing for. The Granbury, Texas community controversy and coal-plant mining operations directly contradict any sustainability-oriented purpose claim [5].</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266-person company has assembled a leadership team with relevant technical expertise, including board members with AI specialization and a former Qualcomm Chief Diversity Officer [2]. However, no employee retention data, cultural metrics, or trust indicators are publicly available. The rapid strategic pivots and company name changes (Marathon Patent Group → Marathon Digital → MARA Holdings) create organizational uncertainty that Sinek would view as trust-undermining.</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MARA's competitive language focuses on being the 'largest' publicly traded miner and the 'second-largest corporate Bitcoin holder' — ranking-based positioning that is fundamentally finite [1][2]. No evidence of management acknowledging competitors' strengths or framing competition as a learning opportunity. The company competes to dominate rather than to improve.</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MARA has executed genuinely transformative pivots — from a patent holding company to the world's largest publicly traded Bitcoin miner, and now pivoting again toward AI and digital infrastructure through the Exaion acquisition and Starwood JV [2]. The decision to sell four gas plants, launch immersion cooling as a product line, and deploy micro data centers using waste gas demonstrate willingness to fundamentally reshape the business model. However, Sinek would note that existential flexibility without a Just Cause is just opportunism — and MARA's pivots appear market-driven rather than cause-driven.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Thiel has made bold bets including issuing $2.2B+ in convertible notes to accumulate Bitcoin, building operations across four continents, and initiating the AI infrastructure pivot while competitors hesitated [2]. However, the courage is financial (leveraging the balance sheet) rather than principled (sacrificing short-term earnings for long-term capability). The $1.1B BTC liquidation in early 2026 suggests the leveraged strategy created pressure rather than patient long-term positioning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MARA Holdings offers a high-beta play on Bitcoin and an emerging digital infrastructure optionality narrative. FY2025 revenue reached $907M (up 38% YoY), the company achieved 75 EH/s hash rate (40% increase from 2024), and it remains the second-largest corporate Bitcoin holder [1][2]. The strategic pivot toward AI and digital infrastructure — through the Exaion acquisition for enterprise AI/HPC, the Starwood Digital Ventures joint venture, and proprietary immersion cooling technology receiving external orders — could diversify revenue beyond Bitcoin's volatility [2]. At $8.10 per share and a $3.1B market cap, with analysts projecting 146% upside and Wall Street price targets suggesting significant undervaluation, MARA offers asymmetric reward potential if Bitcoin prices recover and the AI infrastructure pivot gains traction [1]. The 47.7M average daily volume provides exceptional liquidity for position management.</w:t>
      </w:r>
    </w:p>
    <w:p>
      <w:pPr>
        <w:spacing w:after="120"/>
      </w:pPr>
      <w:r>
        <w:rPr>
          <w:rFonts w:ascii="Calibri" w:hAnsi="Calibri"/>
          <w:b w:val="0"/>
          <w:color w:val="3A4A28"/>
          <w:sz w:val="20"/>
        </w:rPr>
        <w:t>The bear case is extensive and material. MARA reported a $1.7B net loss in Q4 2025, ROE of -34.46%, and profit margin of -144.58%, reflecting a business that is destroying value at an alarming rate when Bitcoin prices are unfavorable [1][6]. Production costs peaked above $52,000 per BTC, and energy expenses consumed nearly 80% of gross revenue by mid-2025, demonstrating the structural margin problem in pure-play mining [1][4]. The $1.1B Bitcoin liquidation in early 2026 and $2.2B+ in convertible note debt create significant financial fragility — analysts expect 7% annual share dilution over the next three years [1]. ESG controversies are serious: the Hardin, Montana coal plant venture drew SEC subpoenas, the Granbury, Texas facility generated health complaints documented by Time magazine, and the transaction censorship controversy undermined credibility within the crypto community [5]. The AI pivot is early-stage with no quantified revenue, and MARA faces steep competition from Hut 8, CoreWeave, and established data center operators who have years of head start in AI infrastructure [2][4]. Net debt to EBITDA of 1.54x with negative free cash flow creates refinancing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Bitcoin price recovery — MARA's ~$3B Bitcoin treasury and mining operations provide extreme operating leverage to BTC price appreciation, with analyst targets implying 146% upside [1]</w:t>
      </w:r>
    </w:p>
    <w:p>
      <w:pPr>
        <w:spacing w:before="40" w:after="40"/>
        <w:ind w:left="283"/>
      </w:pPr>
      <w:r>
        <w:rPr>
          <w:rFonts w:ascii="Calibri" w:hAnsi="Calibri"/>
          <w:b/>
          <w:color w:val="4A6B25"/>
          <w:sz w:val="20"/>
        </w:rPr>
        <w:t xml:space="preserve">2. </w:t>
      </w:r>
      <w:r>
        <w:rPr>
          <w:rFonts w:ascii="Calibri" w:hAnsi="Calibri"/>
          <w:b w:val="0"/>
          <w:color w:val="3A4A28"/>
          <w:sz w:val="20"/>
        </w:rPr>
        <w:t>AI infrastructure pivot execution — Exaion enterprise AI/HPC capabilities and Starwood Digital Ventures joint venture could diversify revenue streams beyond Bitcoin mining volatility [2]</w:t>
      </w:r>
    </w:p>
    <w:p>
      <w:pPr>
        <w:spacing w:before="40" w:after="40"/>
        <w:ind w:left="283"/>
      </w:pPr>
      <w:r>
        <w:rPr>
          <w:rFonts w:ascii="Calibri" w:hAnsi="Calibri"/>
          <w:b/>
          <w:color w:val="4A6B25"/>
          <w:sz w:val="20"/>
        </w:rPr>
        <w:t xml:space="preserve">3. </w:t>
      </w:r>
      <w:r>
        <w:rPr>
          <w:rFonts w:ascii="Calibri" w:hAnsi="Calibri"/>
          <w:b w:val="0"/>
          <w:color w:val="3A4A28"/>
          <w:sz w:val="20"/>
        </w:rPr>
        <w:t>Proprietary technology commercialization — two-phase immersion cooling (2PIC) external orders and micro data center deployments using flare gas at $0.01/kWh could improve margins and create new revenue lines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Bitcoin price dependency and financial fragility — $1.7B Q4 2025 net loss, $2.2B+ convertible note debt, and $1.1B BTC liquidation demonstrate extreme sensitivity to Bitcoin prices, with negative free cash flow and 7% annual share dilution expected [1][6]</w:t>
      </w:r>
    </w:p>
    <w:p>
      <w:pPr>
        <w:spacing w:before="40" w:after="40"/>
        <w:ind w:left="283"/>
      </w:pPr>
      <w:r>
        <w:rPr>
          <w:rFonts w:ascii="Calibri" w:hAnsi="Calibri"/>
          <w:b/>
          <w:color w:val="4A6B25"/>
          <w:sz w:val="20"/>
        </w:rPr>
        <w:t xml:space="preserve">2. </w:t>
      </w:r>
      <w:r>
        <w:rPr>
          <w:rFonts w:ascii="Calibri" w:hAnsi="Calibri"/>
          <w:b w:val="0"/>
          <w:color w:val="3A4A28"/>
          <w:sz w:val="20"/>
        </w:rPr>
        <w:t>Energy cost compression — AI data centers competing directly for power resources are driving up industrial electricity rates, with MARA's energy costs consuming nearly 80% of gross revenue and production costs exceeding $52,000/BTC [1][4]</w:t>
      </w:r>
    </w:p>
    <w:p>
      <w:pPr>
        <w:spacing w:before="40" w:after="40"/>
        <w:ind w:left="283"/>
      </w:pPr>
      <w:r>
        <w:rPr>
          <w:rFonts w:ascii="Calibri" w:hAnsi="Calibri"/>
          <w:b/>
          <w:color w:val="4A6B25"/>
          <w:sz w:val="20"/>
        </w:rPr>
        <w:t xml:space="preserve">3. </w:t>
      </w:r>
      <w:r>
        <w:rPr>
          <w:rFonts w:ascii="Calibri" w:hAnsi="Calibri"/>
          <w:b w:val="0"/>
          <w:color w:val="3A4A28"/>
          <w:sz w:val="20"/>
        </w:rPr>
        <w:t>ESG and community opposition — SEC subpoenas from Montana coal plant venture, Time magazine investigation of Texas health complaints, and federal court actions against community opposition efforts create regulatory and reputational risk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MARA's core Bitcoin mining business is EXPOSED to AI disruption — not because AI replaces mining, but because AI data centers compete directly for the same power resources, driving up energy costs and compressing mining margins [2][4]. CEO Fred Thiel has acknowledged that 'large-scale bitcoin miners are competing head on with AI companies for power,' and energy expenses consumed nearly 80% of MARA's gross revenue by mid-2025 [2]. However, Bitcoin mining's grid-balancing capability (miners can shut off during peak demand, unlike AI loads) provides some defensive moat, and MARA's stranded energy strategy mitigates direct competition [2]. The pivot toward AI infrastructure creates optionality but is unproven. AI Opportunity (1/1): The Exaion acquisition provides enterprise AI and HPC computing capabilities, and the Starwood Digital Ventures joint venture targets AI infrastructure, generating early-stage but quantifiable movement toward AI revenue diversification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MARA Holdings FY2025 financial results — $907M revenue (38% YoY), $1.7B Q4 net loss, -$3.69 TTM EPS, February 2026</w:t>
      </w:r>
    </w:p>
    <w:p>
      <w:pPr>
        <w:spacing w:before="20" w:after="20"/>
        <w:ind w:left="170"/>
      </w:pPr>
      <w:r>
        <w:rPr>
          <w:rFonts w:ascii="Calibri" w:hAnsi="Calibri"/>
          <w:b/>
          <w:color w:val="4A6B25"/>
          <w:sz w:val="15"/>
        </w:rPr>
        <w:t xml:space="preserve">2. </w:t>
      </w:r>
      <w:r>
        <w:rPr>
          <w:rFonts w:ascii="Calibri" w:hAnsi="Calibri"/>
          <w:b w:val="0"/>
          <w:color w:val="3A4A28"/>
          <w:sz w:val="17"/>
        </w:rPr>
        <w:t>MARA strategic pivot — CEO Fred Thiel interviews, Exaion acquisition, Starwood JV, immersion cooling innovation, AI/HPC strategy</w:t>
      </w:r>
    </w:p>
    <w:p>
      <w:pPr>
        <w:spacing w:before="20" w:after="20"/>
        <w:ind w:left="170"/>
      </w:pPr>
      <w:r>
        <w:rPr>
          <w:rFonts w:ascii="Calibri" w:hAnsi="Calibri"/>
          <w:b/>
          <w:color w:val="4A6B25"/>
          <w:sz w:val="15"/>
        </w:rPr>
        <w:t xml:space="preserve">3. </w:t>
      </w:r>
      <w:r>
        <w:rPr>
          <w:rFonts w:ascii="Calibri" w:hAnsi="Calibri"/>
          <w:b w:val="0"/>
          <w:color w:val="3A4A28"/>
          <w:sz w:val="17"/>
        </w:rPr>
        <w:t>MARA $1.1B Bitcoin liquidation and convertible note debt — Crowdfund Insider, treasury analysis, March 2026</w:t>
      </w:r>
    </w:p>
    <w:p>
      <w:pPr>
        <w:spacing w:before="20" w:after="20"/>
        <w:ind w:left="170"/>
      </w:pPr>
      <w:r>
        <w:rPr>
          <w:rFonts w:ascii="Calibri" w:hAnsi="Calibri"/>
          <w:b/>
          <w:color w:val="4A6B25"/>
          <w:sz w:val="15"/>
        </w:rPr>
        <w:t xml:space="preserve">4. </w:t>
      </w:r>
      <w:r>
        <w:rPr>
          <w:rFonts w:ascii="Calibri" w:hAnsi="Calibri"/>
          <w:b w:val="0"/>
          <w:color w:val="3A4A28"/>
          <w:sz w:val="17"/>
        </w:rPr>
        <w:t>Energy cost and margin pressures — rising energy costs, AI competition for power, production cost analysis, FinancialContent</w:t>
      </w:r>
    </w:p>
    <w:p>
      <w:pPr>
        <w:spacing w:before="20" w:after="20"/>
        <w:ind w:left="170"/>
      </w:pPr>
      <w:r>
        <w:rPr>
          <w:rFonts w:ascii="Calibri" w:hAnsi="Calibri"/>
          <w:b/>
          <w:color w:val="4A6B25"/>
          <w:sz w:val="15"/>
        </w:rPr>
        <w:t xml:space="preserve">5. </w:t>
      </w:r>
      <w:r>
        <w:rPr>
          <w:rFonts w:ascii="Calibri" w:hAnsi="Calibri"/>
          <w:b w:val="0"/>
          <w:color w:val="3A4A28"/>
          <w:sz w:val="17"/>
        </w:rPr>
        <w:t>ESG controversies — Hardin MT coal plant SEC subpoena, Granbury TX health complaints (Time), transaction censorship controversy, Wikipedia</w:t>
      </w:r>
    </w:p>
    <w:p>
      <w:pPr>
        <w:spacing w:before="20" w:after="20"/>
        <w:ind w:left="170"/>
      </w:pPr>
      <w:r>
        <w:rPr>
          <w:rFonts w:ascii="Calibri" w:hAnsi="Calibri"/>
          <w:b/>
          <w:color w:val="4A6B25"/>
          <w:sz w:val="15"/>
        </w:rPr>
        <w:t xml:space="preserve">6. </w:t>
      </w:r>
      <w:r>
        <w:rPr>
          <w:rFonts w:ascii="Calibri" w:hAnsi="Calibri"/>
          <w:b w:val="0"/>
          <w:color w:val="3A4A28"/>
          <w:sz w:val="17"/>
        </w:rPr>
        <w:t>Yahoo Finance / yfinance data for MARA, retrieved April 1,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