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MATX</w:t>
      </w:r>
      <w:r>
        <w:rPr>
          <w:rFonts w:ascii="Calibri" w:hAnsi="Calibri"/>
          <w:b/>
          <w:color w:val="1A2010"/>
          <w:sz w:val="40"/>
        </w:rPr>
        <w:t xml:space="preserve">  Matson, Inc.</w:t>
      </w:r>
    </w:p>
    <w:p>
      <w:pPr>
        <w:spacing w:after="120"/>
      </w:pPr>
      <w:r>
        <w:rPr>
          <w:rFonts w:ascii="Calibri" w:hAnsi="Calibri"/>
          <w:b/>
          <w:color w:val="6E8450"/>
          <w:sz w:val="18"/>
        </w:rPr>
        <w:t>DIVIDEND SLEEVE · 2026-04-01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NYSE · United States</w:t>
      </w:r>
    </w:p>
    <w:p>
      <w:pPr>
        <w:spacing w:after="80"/>
      </w:pPr>
      <w:r>
        <w:rPr>
          <w:rFonts w:ascii="Calibri" w:hAnsi="Calibri"/>
          <w:b w:val="0"/>
          <w:color w:val="3A4A28"/>
          <w:sz w:val="20"/>
        </w:rPr>
        <w:t>Matson, Inc. is a U.S.-flagged ocean transportation and logistics company headquartered in Honolulu, Hawaii. Founded in 1882, Matson provides a vital lifeline to the economies of Hawaii, Alaska, Guam, and Micronesia, and operates a premium expedited service from China to Southern California. The company operates through two segments: Ocean Transportation and Logistics.</w:t>
      </w:r>
    </w:p>
    <w:p>
      <w:r>
        <w:rPr>
          <w:rFonts w:ascii="Calibri" w:hAnsi="Calibri"/>
          <w:b/>
          <w:color w:val="6E8450"/>
          <w:sz w:val="18"/>
        </w:rPr>
        <w:t>4,170 Employees · https://www.matson.com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Matson grew revenue from $2.2B in 2020 to $3.3B in 2025 (8.6% 5yr CAGR), though 2025 revenue declined 4.3% YoY from the 2024 peak of $3.4B as pandemic-era freight rate tailwinds normalized [1]. The company successfully leveraged the China-to-Long Beach expedited service during the e-commerce boom, but this represents incremental service expansion rather than a transformative business pivot. AI Deployment (0/2): No evidence of Matson deploying AI-powered products or services to customers, or reporting specific AI-driven cost savings. The company's digital transformation has focused on migrating from legacy DOS systems to cloud infrastructure — necessary modernization rather than AI innovation [2]. Market Share (2/2): Matson holds a dominant, regulatory-protected position in Jones Act trade lanes serving Hawaii, Alaska, and Guam. The Jones Act requires U.S.-built, U.S.-flagged, U.S.-crewed vessels for domestic shipping, creating an extraordinarily high barrier to entry that gives Matson effective oligopoly status with only a few competitors [1]. Pipeline (1/2): LNG-capable vessel investments position Matson for lower-emission operations and compliance with IMO regulations. The China expedited service continues to grow on e-commerce demand. However, no transformative next-gen products or services are on the horizon [3]. R&amp;D Intensity (0/1): As a shipping company, Matson's R&amp;D spending is minimal. Investment focuses on fleet modernization and operational efficiency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Matson's purpose as a 'vital lifeline' to island economies (Hawaii, Alaska, Guam, Micronesia) is specific, genuine, and deeply connected to a larger cause — these communities literally depend on Matson for essential goods, food, and supplies. The company's 143-year heritage since 1882 and Hawaiian 'ohana' (family) culture create an authentic connection between purpose and operations that goes beyond marketing [2]. The lifeline mission shapes strategic decisions and employee engagement in a distinctive way. Community Impact (1/2): Matson employs 4,170 people and serves as critical infrastructure for island economies that have limited transportation alternatives. The company's environmental stewardship includes LNG vessel conversions, shore power (cold ironing), and IMO Tier III compliant engines [3]. Employee Retention (1/2): CEO Matthew Cox has led the company through its entire post-separation era (since 2012), and succession planning emphasizes internal promotion — retiring EVP John Lauer's replacement Chris Scott has decades of internal Matson experience, as does logistics successor Jerome Holland [2]. The 'ohana' culture suggests above-average retention for the industry. Insider Buying (0/2): No specific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Matson's balance sheet and valuation profile are exceptionally strong. D/E of 26.4% is among the lowest in the shipping industry, providing substantial financial flexibility and buffer against cyclical downturns [5]. ROE of 16.4% exceeds the target threshold, demonstrating adequate capital efficiency despite the asset-heavy shipping business. Revenue declined 4.3% YoY as pandemic-era freight rates normalized, but the 5yr CAGR of 8.6% reflects healthy structural growth [1]. Forward P/E of 11.3x is extremely attractive, pricing Matson at a significant discount to the broader market despite its regulatory-protected competitive position. Profit margin of 13.3% is strong for a shipping company, reflecting the pricing power of Jones Act routes. The dividend profile is solid: 14 consecutive years of payment since the 2012 separation from Alexander &amp; Baldwin, 6 years of consecutive growth, 9.2% 5yr CAGR, and a conservative 10.1% payout ratio providing enormous room for future increases [5]. Liquidity floor cleared at $52.6M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Matson's 143-year history since 1882 and its role as a vital lifeline to island economies demonstrate genuine infinite game qualities — the company exists to serve communities that depend on it for survival. CEO Matthew Cox's long tenure and emphasis on internal succession planning reflect organizational continuity. However, the company's strategic flexibility is constrained by its narrow geographic and regulatory niche, and there is limited evidence of the courageous, cause-driven leadership that characterizes true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Matson earns 2/3 points. The company's role as a 'vital lifeline' to Hawaii, Alaska, Guam, and Pacific island economies is a genuine, enduring purpose that has sustained the organization for 143 years [1]. Communities depend on Matson for essential goods — this is not a marketing tagline but a physical reality. The Hawaiian 'ohana' (family) culture connects employees to this purpose authentically. However, the cause is narrowly defined around reliable transportation rather than a transformative vision of a better future, and the Jones Act regulatory protection reduces the extent to which the purpose must be earned through competitive excellence.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Matson earns 1/2 points. The company's emphasis on internal succession is notable — CEO Cox has led since 2012, retiring EVP Lauer is succeeded by decades-long insider Chris Scott, and logistics head Rusty Rolfe is succeeded by internal candidate Jerome Holland [2]. This pattern of promoting from within suggests a culture that develops and trusts its people. The 'ohana' cultural framework and small company size (4,170 employees) likely create stronger interpersonal bonds than larger organizations. However, no exceptional evidence of psychological safety or employee empowerment beyond standard corporate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Matson earns 0/1 point. Matson operates in a regulatory-protected oligopoly (Jones Act) with limited competition in its core Hawaii and Alaska trade lanes. This insulation from competitive pressure means there are few worthy rivals pushing Matson to improve. In the China-to-Long Beach expedited service, Matson competes with larger global carriers, but the company's competitive language focuses on its premium service differentiation rather than learning from rivals' strengths. The regulatory moat reduces the competitive intensity that Sinek views as essential for growth.</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Matson earns 0/2 points. The company has operated the same core business model — ocean container shipping to Pacific destinations — for over a century. The addition of the China expedited service and Logistics segment represent incremental extensions rather than transformative pivots. LNG vessel investments are regulatory compliance, not strategic reinvention. Matson's narrow geographic and regulatory niche constrains its ability to make dramatic strategic shifts, and there is no evidence of the company abandoning a profitable business line or making a painful pivot in service of its cause. The 2012 separation from Alexander &amp; Baldwin (spinning off the real estate business) was the most significant structural change, but that was 14 years ago.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Matson earns 1/2 points. The company invested in LNG-capable vessels and fleet modernization during periods of freight rate volatility, demonstrating willingness to spend on long-term capability [3]. Maintaining the 'vital lifeline' service to small Pacific island economies (Guam, Micronesia) despite their limited profitability compared to the China service shows purpose-driven decision-making. However, most of Matson's strategic decisions are protected by Jones Act monopoly economics — true courage would require making costly choices without regulatory safety nets.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Matson is a unique defensive asset — a Jones Act-protected ocean shipping company with an effective oligopoly serving Hawaii, Alaska, and Pacific island economies that have no alternative for essential goods delivery. The regulatory moat is virtually impenetrable: U.S.-built, U.S.-flagged, U.S.-crewed vessel requirements create barriers to entry that no competitor can realistically overcome. At 11.3x forward earnings with a pristine 26.4% D/E ratio and 16.4% ROE, Matson is attractively valued for a business with regulatory protection, 13.3% profit margins, and a growing dividend (9.2% 5yr CAGR) at just 10% payout ratio [5]. Q4 2025 exceeded expectations with higher-than-expected China service freight rates driven by strong e-commerce demand, and the U.S.-China trade deal announced October 2025 provides a more stable transpacific trading environment [1].</w:t>
      </w:r>
    </w:p>
    <w:p>
      <w:pPr>
        <w:spacing w:after="120"/>
      </w:pPr>
      <w:r>
        <w:rPr>
          <w:rFonts w:ascii="Calibri" w:hAnsi="Calibri"/>
          <w:b w:val="0"/>
          <w:color w:val="3A4A28"/>
          <w:sz w:val="20"/>
        </w:rPr>
        <w:t>The bear case centers on revenue normalization and limited growth levers. Revenue declined 4.3% YoY in 2025 as pandemic-era freight rate tailwinds faded, and analysts forecast earnings declining an average of 3% per year for the next three years [1]. The company's core domestic trade lanes (Hawaii, Alaska) are mature markets with limited volume growth potential — growth depends on population trends and economic activity in small island economies. The China expedited service is exposed to transpacific trade volatility, tariff uncertainty, and competition from larger global carriers (Maersk, MSC, CMA CGM) who can price aggressively. Fuel costs represent up to 40% of operating expenses, creating significant margin sensitivity to energy prices [3]. The 0.88% dividend yield is low for a Dividend sleeve stock, offering limited current income despite the rapid growth rate. At 4,170 employees with $3.3B revenue, Matson is a small company with limited diversification — any disruption to Jones Act legislation (politically unlikely but existential) would fundamentally destroy the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expedited service volume growth driven by sustained e-commerce and e-goods demand, supported by the October 2025 U.S.-China trade and economic deal stabilizing transpacific freight rates [1]</w:t>
      </w:r>
    </w:p>
    <w:p>
      <w:pPr>
        <w:spacing w:before="40" w:after="40"/>
        <w:ind w:left="283"/>
      </w:pPr>
      <w:r>
        <w:rPr>
          <w:rFonts w:ascii="Calibri" w:hAnsi="Calibri"/>
          <w:b/>
          <w:color w:val="4A6B25"/>
          <w:sz w:val="20"/>
        </w:rPr>
        <w:t xml:space="preserve">2. </w:t>
      </w:r>
      <w:r>
        <w:rPr>
          <w:rFonts w:ascii="Calibri" w:hAnsi="Calibri"/>
          <w:b w:val="0"/>
          <w:color w:val="3A4A28"/>
          <w:sz w:val="20"/>
        </w:rPr>
        <w:t>Dividend growth acceleration — the 10.1% payout ratio provides massive headroom for dividend increases well above the 9.2% 5yr CAGR, potentially transforming MATX into a compelling income growth story</w:t>
      </w:r>
    </w:p>
    <w:p>
      <w:pPr>
        <w:spacing w:before="40" w:after="40"/>
        <w:ind w:left="283"/>
      </w:pPr>
      <w:r>
        <w:rPr>
          <w:rFonts w:ascii="Calibri" w:hAnsi="Calibri"/>
          <w:b/>
          <w:color w:val="4A6B25"/>
          <w:sz w:val="20"/>
        </w:rPr>
        <w:t xml:space="preserve">3. </w:t>
      </w:r>
      <w:r>
        <w:rPr>
          <w:rFonts w:ascii="Calibri" w:hAnsi="Calibri"/>
          <w:b w:val="0"/>
          <w:color w:val="3A4A28"/>
          <w:sz w:val="20"/>
        </w:rPr>
        <w:t>Fleet modernization with LNG-capable vessels reducing fuel costs and emissions, positioning Matson ahead of IMO environmental regulations while hedging against volatile bunker fuel prices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and earnings normalization — analysts forecast 3% average annual earnings decline over three years as pandemic-era freight rate tailwinds fully dissipate and core domestic trade lanes show limited volume growth [1]</w:t>
      </w:r>
    </w:p>
    <w:p>
      <w:pPr>
        <w:spacing w:before="40" w:after="40"/>
        <w:ind w:left="283"/>
      </w:pPr>
      <w:r>
        <w:rPr>
          <w:rFonts w:ascii="Calibri" w:hAnsi="Calibri"/>
          <w:b/>
          <w:color w:val="4A6B25"/>
          <w:sz w:val="20"/>
        </w:rPr>
        <w:t xml:space="preserve">2. </w:t>
      </w:r>
      <w:r>
        <w:rPr>
          <w:rFonts w:ascii="Calibri" w:hAnsi="Calibri"/>
          <w:b w:val="0"/>
          <w:color w:val="3A4A28"/>
          <w:sz w:val="20"/>
        </w:rPr>
        <w:t>Fuel cost exposure — bunker fuel represents up to 40% of operating expenses, and any sustained energy price spike would compress margins on regulated Jones Act routes where rate increases face political sensitivity [3]</w:t>
      </w:r>
    </w:p>
    <w:p>
      <w:pPr>
        <w:spacing w:before="40" w:after="40"/>
        <w:ind w:left="283"/>
      </w:pPr>
      <w:r>
        <w:rPr>
          <w:rFonts w:ascii="Calibri" w:hAnsi="Calibri"/>
          <w:b/>
          <w:color w:val="4A6B25"/>
          <w:sz w:val="20"/>
        </w:rPr>
        <w:t xml:space="preserve">3. </w:t>
      </w:r>
      <w:r>
        <w:rPr>
          <w:rFonts w:ascii="Calibri" w:hAnsi="Calibri"/>
          <w:b w:val="0"/>
          <w:color w:val="3A4A28"/>
          <w:sz w:val="20"/>
        </w:rPr>
        <w:t>Jones Act legislative risk — while politically unlikely, any weakening of cabotage protections (U.S.-build, U.S.-flag, U.S.-crew requirements) would fundamentally destroy Matson's competitive moat and collapse margins as foreign-flagged carriers enter domestic routes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Ocean shipping is structurally immune to AI disruption. Physical vessels must carry physical cargo across physical oceans — no AI system can replace container ships delivering food, building materials, and consumer goods to Hawaii, Alaska, and Pacific islands [1]. Matson's Jones Act regulatory moat provides an additional layer of protection: even if AI could somehow disrupt logistics, the legal requirement for U.S.-built, U.S.-flagged, U.S.-crewed vessels on domestic routes cannot be circumvented by technology. AI may modestly improve route optimization, inventory forecasting, and port operations, but these are efficiency gains that benefit incumbents like Matson rather than enabling new competitors. AI Opportunity (0/1): Matson does not generate meaningful AI-related revenue. The company's technology investments focus on cloud migration and operational efficiency rather than AI-powered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Matson, Inc. Q4 and Full Year 2025 Results and 2026 Outlook, February 24, 2026 — $3.34B revenue, $444.8M net income, Q4 exceeding expectations on China service strength</w:t>
      </w:r>
    </w:p>
    <w:p>
      <w:pPr>
        <w:spacing w:before="20" w:after="20"/>
        <w:ind w:left="170"/>
      </w:pPr>
      <w:r>
        <w:rPr>
          <w:rFonts w:ascii="Calibri" w:hAnsi="Calibri"/>
          <w:b/>
          <w:color w:val="4A6B25"/>
          <w:sz w:val="15"/>
        </w:rPr>
        <w:t xml:space="preserve">2. </w:t>
      </w:r>
      <w:r>
        <w:rPr>
          <w:rFonts w:ascii="Calibri" w:hAnsi="Calibri"/>
          <w:b w:val="0"/>
          <w:color w:val="3A4A28"/>
          <w:sz w:val="17"/>
        </w:rPr>
        <w:t>Matson Leadership Succession Announcements — CEO Matthew Cox, EVP Chris Scott succeeding John Lauer, Jerome Holland succeeding Rusty Rolfe, internal succession culture</w:t>
      </w:r>
    </w:p>
    <w:p>
      <w:pPr>
        <w:spacing w:before="20" w:after="20"/>
        <w:ind w:left="170"/>
      </w:pPr>
      <w:r>
        <w:rPr>
          <w:rFonts w:ascii="Calibri" w:hAnsi="Calibri"/>
          <w:b/>
          <w:color w:val="4A6B25"/>
          <w:sz w:val="15"/>
        </w:rPr>
        <w:t xml:space="preserve">3. </w:t>
      </w:r>
      <w:r>
        <w:rPr>
          <w:rFonts w:ascii="Calibri" w:hAnsi="Calibri"/>
          <w:b w:val="0"/>
          <w:color w:val="3A4A28"/>
          <w:sz w:val="17"/>
        </w:rPr>
        <w:t>Matson Environmental Stewardship and ESG — LNG vessel conversions, IMO Tier III compliance, shore power (cold ironing), Sustainalytics Strong ESG management rating</w:t>
      </w:r>
    </w:p>
    <w:p>
      <w:pPr>
        <w:spacing w:before="20" w:after="20"/>
        <w:ind w:left="170"/>
      </w:pPr>
      <w:r>
        <w:rPr>
          <w:rFonts w:ascii="Calibri" w:hAnsi="Calibri"/>
          <w:b/>
          <w:color w:val="4A6B25"/>
          <w:sz w:val="15"/>
        </w:rPr>
        <w:t xml:space="preserve">4. </w:t>
      </w:r>
      <w:r>
        <w:rPr>
          <w:rFonts w:ascii="Calibri" w:hAnsi="Calibri"/>
          <w:b w:val="0"/>
          <w:color w:val="3A4A28"/>
          <w:sz w:val="17"/>
        </w:rPr>
        <w:t>Simply Wall St — Matson leadership shift and cargo security analysis, earnings forecast to decline 3% annually over 3 years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MATX (Matson, Inc.),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