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MAT</w:t>
      </w:r>
      <w:r>
        <w:rPr>
          <w:rFonts w:ascii="Calibri" w:hAnsi="Calibri"/>
          <w:b/>
          <w:color w:val="1A2010"/>
          <w:sz w:val="40"/>
        </w:rPr>
        <w:t xml:space="preserve">  Mattel, Inc.</w:t>
      </w:r>
    </w:p>
    <w:p>
      <w:pPr>
        <w:spacing w:after="120"/>
      </w:pPr>
      <w:r>
        <w:rPr>
          <w:rFonts w:ascii="Calibri" w:hAnsi="Calibri"/>
          <w:b/>
          <w:color w:val="6E8450"/>
          <w:sz w:val="18"/>
        </w:rPr>
        <w:t>GROWTH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Mattel designs, manufactures, and markets toys, games, and family entertainment products worldwide. Key brands include Barbie, Hot Wheels, Fisher-Price, American Girl, and Matchbox. The company is expanding into entertainment through Mattel Films and Mattel163 digital gaming.</w:t>
      </w:r>
    </w:p>
    <w:p>
      <w:r>
        <w:rPr>
          <w:rFonts w:ascii="Calibri" w:hAnsi="Calibri"/>
          <w:b/>
          <w:color w:val="6E8450"/>
          <w:sz w:val="18"/>
        </w:rPr>
        <w:t>31,000 Employees · https://corporate.mattel.com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Mattel posted FY2025 revenue of $5.35B, down 0.6% YoY, though Q4 grew 7.3% to $1.77B driven by holiday demand [1]. The Barbie movie franchise revitalized the brand but has not yet translated into sustained topline momentum. AI Deployment (1/2): Mattel hired CTO Sai Koorapati to drive digital transformation and AI integration across the business, with $110M earmarked for new technology capabilities including AI and infrastructure in 2026, but these are early-stage investments [2]. Market Share (1/2): Mattel holds strong positions in dolls (Barbie), vehicles (Hot Wheels), and infant/toddler (Fisher-Price), but faces secular headwinds from children migrating to digital entertainment — tablets and smartphones — over traditional toys [2]. Pipeline (1/2): Masters of the Universe film (June 2026) and Matchbox The Movie (October 2026) could drive toy sales, plus Mattel163 digital gaming expected to contribute ~$150M in partial-year 2026 revenue [1]. R&amp;D Intensity (1/1): Significant investment in breakthrough toy innovation and digital games, though Glassdoor reviews suggest internal innovation culture remains constrained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Mattel's mission to create innovative products that inspire, entertain, and develop children through play resonates across generations, and the Barbie brand has become a cultural touchstone for empowerment and inclusivity [3]. However, the mission statement is broad and lacks distinctive conviction beyond peer toymakers. Community Impact (1/2): Mattel employs 31,000 globally and has achieved 100% base pay equity, 57% female non-manufacturing workforce, and scored 100 on the HRC Corporate Equality Index for four consecutive years [3]. Employee Retention (1/2): Glassdoor rating of 3.6/5 is adequate but reviews cite constant layoffs, slow growth, expectations not matched by pay, and toxic pockets in management — only 49% have a positive business outlook [2]. Insider Buying (0/2): No notable insider buying signals; CEO Ynon Kreiz's compensation is primarily equity-based but no significant open-market purchases reported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Mattel trades at a forward P/E of 9.5x on EPS guidance of $1.18-$1.30, reflecting deep skepticism about growth sustainability [4]. D/E of 120.2% is elevated for a consumer products company, though manageable with guided operating income of $550-$600M [1]. ROE of 17.7% and profit margin of 7.4% are modest, reflecting the low-margin nature of toy manufacturing and the Q4 earnings miss ($0.39 vs $0.54 expected) [1][4]. Revenue growth guidance of 3-6% constant currency for 2026 is tepid, especially with $110M in strategic investments weighing on near-term profitability [1]. The stock at $14.53 trades well below its 50-day SMA of $17.54, signaling negative momentum. Liquidity floor cleared: 5.28M avg vol x $14.53 = $76.7M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Mattel under CEO Ynon Kreiz has demonstrated strategic vision in pivoting toward entertainment (Barbie movie, Masters of the Universe) and digital gaming, but execution remains inconsistent with the Q4 2025 earnings miss and persistent employee concerns about innovation culture and constant layoffs.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Mattel's cause — inspiring play and child development — is enduring and resonant, amplified by the Barbie brand's cultural reinvention as a symbol of empowerment [3]. The expansion into entertainment and digital gaming represents purposeful evolution, though cynics may view it as revenue diversification rather than mission-driven transformation.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fractured trust: while employees appreciate the iconic brands, 51% have a negative or neutral business outlook, with recurring complaints about constant layoffs, toxic management pockets, and expectations that outpace compensation [2]. The 3.3/5 career opportunities rating suggests limited internal mobility.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Mattel acknowledges competition from LEGO, Hasbro, and digital entertainment platforms, using the Barbie movie success to redefine competitive positioning beyond traditional toy shelves [1]. However, the company has been slower than LEGO to build a premium, innovation-driven brand identity.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toy manufacturer to entertainment company (Mattel Films) and digital gaming (Mattel163) demonstrates meaningful existential flexibility [1]. The $150M expected Mattel163 contribution and two major films in 2026 show willingness to transform, though the $110M investment burden creates near-term execution pressure.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Kreiz made bold bets on entertainment IP monetization, validating the strategy with the $1.4B Barbie movie, and is now investing aggressively in digital capabilities despite earnings pressure [1]. However, the persistent layoff culture and Glassdoor criticisms suggest leadership has not yet built the organizational resilience to match its strategic ambition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Mattel is a legacy toy company in transition, trading at a deeply discounted 9.5x forward P/E that prices in significant skepticism about its entertainment and digital transformation [1][4]. FY2025 revenue of $5.35B was essentially flat, and Q4 EPS of $0.39 badly missed the $0.54 consensus, undermining near-term confidence [1]. The 2026 guidance of 3-6% constant currency revenue growth and $1.18-$1.30 EPS is modest, burdened by $110M in strategic investments in digital games, AI infrastructure, and first-party data that compress margins now but are expected to be self-funding by 2027 [1]. Two major film releases — Masters of the Universe (June 2026) and Matchbox (October 2026) — provide potential catalysts for brand-driven revenue, following the Barbie movie playbook. The Mattel163 digital gaming platform is expected to contribute ~$150M in partial-year revenue [1].</w:t>
      </w:r>
    </w:p>
    <w:p>
      <w:pPr>
        <w:spacing w:after="120"/>
      </w:pPr>
      <w:r>
        <w:rPr>
          <w:rFonts w:ascii="Calibri" w:hAnsi="Calibri"/>
          <w:b w:val="0"/>
          <w:color w:val="3A4A28"/>
          <w:sz w:val="20"/>
        </w:rPr>
        <w:t>The bear case centers on execution risk and structural headwinds. Mattel's core toy business faces secular decline as children shift to digital entertainment earlier, and the company's 120% D/E ratio limits financial flexibility during the transformation [4]. The Q4 earnings miss suggests operational inconsistency — December U.S. gross billings grew less than expected despite positive consumer demand [1]. Glassdoor reviews reveal a workforce frustrated by constant layoffs and a culture that talks about innovation without truly enabling it [2]. The high ESG controversy rating of 4/5 from Sustainalytics and historical SEC financial misstatement charges raise governance concerns [3]. With the stock 17% below its 50-day SMA, the market is clearly skeptical, and Mattel needs flawless execution on its entertainment and digital strategy to rerate higher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Masters of the Universe film release June 2026 and Matchbox The Movie in October 2026 could drive significant toy sales and brand revitalization, replicating the Barbie movie halo effect [1]</w:t>
      </w:r>
    </w:p>
    <w:p>
      <w:pPr>
        <w:spacing w:before="40" w:after="40"/>
        <w:ind w:left="283"/>
      </w:pPr>
      <w:r>
        <w:rPr>
          <w:rFonts w:ascii="Calibri" w:hAnsi="Calibri"/>
          <w:b/>
          <w:color w:val="4A6B25"/>
          <w:sz w:val="20"/>
        </w:rPr>
        <w:t xml:space="preserve">2. </w:t>
      </w:r>
      <w:r>
        <w:rPr>
          <w:rFonts w:ascii="Calibri" w:hAnsi="Calibri"/>
          <w:b w:val="0"/>
          <w:color w:val="3A4A28"/>
          <w:sz w:val="20"/>
        </w:rPr>
        <w:t>Mattel163 digital gaming platform expected to contribute ~$150M in partial-year 2026 revenue, with mid- to high-single digit revenue growth targeted for 2027 [1]</w:t>
      </w:r>
    </w:p>
    <w:p>
      <w:pPr>
        <w:spacing w:before="40" w:after="40"/>
        <w:ind w:left="283"/>
      </w:pPr>
      <w:r>
        <w:rPr>
          <w:rFonts w:ascii="Calibri" w:hAnsi="Calibri"/>
          <w:b/>
          <w:color w:val="4A6B25"/>
          <w:sz w:val="20"/>
        </w:rPr>
        <w:t xml:space="preserve">3. </w:t>
      </w:r>
      <w:r>
        <w:rPr>
          <w:rFonts w:ascii="Calibri" w:hAnsi="Calibri"/>
          <w:b w:val="0"/>
          <w:color w:val="3A4A28"/>
          <w:sz w:val="20"/>
        </w:rPr>
        <w:t>New CTO Sai Koorapati leading $110M technology investment in AI, digital games, and first-party data capabilities expected to be high-ROI and self-funding by 2027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traditional toy demand as children migrate to digital entertainment (tablets, smartphones, gaming), threatening Mattel's core Fisher-Price and action figure categories [2]</w:t>
      </w:r>
    </w:p>
    <w:p>
      <w:pPr>
        <w:spacing w:before="40" w:after="40"/>
        <w:ind w:left="283"/>
      </w:pPr>
      <w:r>
        <w:rPr>
          <w:rFonts w:ascii="Calibri" w:hAnsi="Calibri"/>
          <w:b/>
          <w:color w:val="4A6B25"/>
          <w:sz w:val="20"/>
        </w:rPr>
        <w:t xml:space="preserve">2. </w:t>
      </w:r>
      <w:r>
        <w:rPr>
          <w:rFonts w:ascii="Calibri" w:hAnsi="Calibri"/>
          <w:b w:val="0"/>
          <w:color w:val="3A4A28"/>
          <w:sz w:val="20"/>
        </w:rPr>
        <w:t>Q4 2025 earnings miss ($0.39 vs $0.54 expected) and flat FY2025 revenue raise execution concerns about management's ability to deliver on transformation promises [1]</w:t>
      </w:r>
    </w:p>
    <w:p>
      <w:pPr>
        <w:spacing w:before="40" w:after="40"/>
        <w:ind w:left="283"/>
      </w:pPr>
      <w:r>
        <w:rPr>
          <w:rFonts w:ascii="Calibri" w:hAnsi="Calibri"/>
          <w:b/>
          <w:color w:val="4A6B25"/>
          <w:sz w:val="20"/>
        </w:rPr>
        <w:t xml:space="preserve">3. </w:t>
      </w:r>
      <w:r>
        <w:rPr>
          <w:rFonts w:ascii="Calibri" w:hAnsi="Calibri"/>
          <w:b w:val="0"/>
          <w:color w:val="3A4A28"/>
          <w:sz w:val="20"/>
        </w:rPr>
        <w:t>Elevated D/E of 120% limits financial flexibility during a capital-intensive transformation period with $110M in strategic investments compressing 2026 margins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Mattel's core toy business faces moderate AI disruption risk as children increasingly gravitate toward AI-powered digital entertainment, potentially accelerating the secular decline in traditional toy engagement [2]. The company is investing $110M in digital games, AI infrastructure, and first-party data capabilities through Mattel163, which could partially offset this threat [1]. However, AI-driven content creation and 3D printing could lower barriers to entry for competitors. AI Opportunity (1/1): Mattel is deploying AI for toy design optimization, demand forecasting, and its digital gaming platform Mattel163, with new CTO Sai Koorapati leading the digital transformation initiative — these investments are expected to be high-ROI and self-funding by 2027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Mattel Q4 and Full Year 2025 Earnings Release — $5.35B revenue, Q4 $1.77B, EPS miss,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CIO Dive — Mattel culture 3.6/5, new CTO Sai Koorapati, AI and digital transformation strategy,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Yahoo Finance ESG — Mattel high controversy level 4/5, HRC 100 score, SEC financial misstatement history,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MAT (Mattel),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