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w:t>
      </w:r>
      <w:r>
        <w:rPr>
          <w:rFonts w:ascii="Calibri" w:hAnsi="Calibri"/>
          <w:b/>
          <w:color w:val="1A2010"/>
          <w:sz w:val="40"/>
        </w:rPr>
        <w:t xml:space="preserve">  Mastercard Incorporated</w:t>
      </w:r>
    </w:p>
    <w:p>
      <w:pPr>
        <w:spacing w:after="120"/>
      </w:pPr>
      <w:r>
        <w:rPr>
          <w:rFonts w:ascii="Calibri" w:hAnsi="Calibri"/>
          <w:b/>
          <w:color w:val="6E8450"/>
          <w:sz w:val="18"/>
        </w:rPr>
        <w:t>GROWTH SLEEVE · 2026-04-07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Mastercard is a global technology company in the payments industry, connecting consumers, financial institutions, merchants, governments, and businesses through electronic forms of payment. The company processes transactions in over 210 countries and territories, generating revenue through transaction processing fees, cross-border volume fees, and value-added services including cybersecurity, data analytics, and consulting.</w:t>
      </w:r>
    </w:p>
    <w:p>
      <w:r>
        <w:rPr>
          <w:rFonts w:ascii="Calibri" w:hAnsi="Calibri"/>
          <w:b/>
          <w:color w:val="6E8450"/>
          <w:sz w:val="18"/>
        </w:rPr>
        <w:t>39,800 Employees · https://www.mastercard.com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Mastercard delivered record Q4 2025 revenue of $8.81B (up 17.5% YoY) and full-year 2025 revenue of $32.8B (up 16.4% YoY), driven by value-added services growth of 21% and worldwide GDV increasing 7% on a local currency basis [1]. AI Deployment (2/2): Mastercard operates under a 'hub and spoke' AI model with a Chief AI and Data Officer overseeing centralized strategy; AI powers real-time fraud detection across billions of transactions, and the company is deploying agentic AI solutions and advanced analytics as commercial products to clients [2]. Market Share (2/2): Mastercard is a global duopoly leader alongside Visa in card network payments, processing transactions across 210+ countries with growing share in cross-border commerce and digital payments [1]. Pipeline (1/2): Value-added services (cybersecurity, data analytics, consulting) growing at 21% represent a clear expansion vector, though specific next-gen product timelines are less defined than pure-tech peers [1]. R&amp;D Intensity (0/1): R&amp;D spending is not separately disclosed and is below typical tech-sector peers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Mastercard's purpose — 'connecting and powering an inclusive, digital economy that benefits everyone, everywhere by making transactions safe, simple, smart and accessible' — is specific, thoughtful, and clearly reflected in financial inclusion initiatives and digital payments expansion across emerging markets [3]. Community Impact (2/2): Mastercard's impact strategy operates through three pillars — People, Prosperity, and Planet — with specific programs including the Mastercard Center for Inclusive Growth and commitments to bring 1 billion people into the digital economy; the company surpassed 2025 emissions reduction targets, cutting Scope 1-2 emissions 48% and Scope 3 by 45% [3]. Employee Retention (1/2): Mastercard fosters an innovation culture that encourages ideas from anywhere in the organization, with leadership investing in talent development and AI-powered HR tools, though specific retention metrics are not publicly disclosed [2]. Insider Buying (1/2): Insider activity shows primarily stock award grants rather than open-market purchases; however, executive equity compensation aligns leadership interests with long-term shareholders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Mastercard's financial profile is exceptional across nearly every metric. Revenue of $32.8B (16.4% YoY growth) with a 45.6% net profit margin and 57.7% operating margin demonstrates extraordinary pricing power inherent to the network model [1]. ROE of 210% reflects the capital-light business model with minimal physical assets. Forward P/E of 22.1x with PEG of 0.91 (based on 24.2% earnings growth) represents reasonable valuation for a high-quality compounder [4]. Free cash flow of $16.3B and $10.9B in cash provide ample financial flexibility. The only weakness is D/E of 256%, elevated due to the capital-light model and aggressive buybacks, though debt is well-serviced by $16B+ in annual FCF. Liquidity easily cleared: 3.9M avg volume x $501.50 = $1.97B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Mastercard plays the infinite game by building payment infrastructure that benefits from every secular trend — digitization, cross-border commerce, financial inclusion — without betting on any single product cycle. The transition from 'credit card company' to 'technology company powering inclusive digital economies' reflects genuine long-term thinking validated by 21% value-added services growth.</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Mastercard's cause — connecting everyone to the digital economy — has been validated by decades of consistent execution, surviving the shift from physical cards to digital payments, mobile wallets, and now AI-powered commerce [1]. Strategic decisions consistently trace back to this purpose: expanding into emerging markets, building real-time payment rails, and investing in financial inclusion rather than extracting maximum fees from existing customers. The cause survived the CEO transition from Ajay Banga to Michael Miebach [2]. (3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Mastercard's innovation culture encourages ideas from across the organization through its 'hub and spoke' model, and the Start Path program mentoring 200+ startups demonstrates openness to external collaboration [2]. The cultural transformation to be 'more innovative and less risk-averse' suggests ongoing investment in psychological safety. However, specific retention or tenure data is limited.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 explicitly acknowledges Visa's strengths and uses competitive pressure to improve rather than simply trying to 'win.' The Start Path program — partnering with 200+ fintech startups that could be disruptors — turns potential rivals into ecosystem partners, reflecting an infinite mindset toward competition [2].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 has evolved from a credit card association to a technology company, expanding into debit, prepaid, cross-border payments, cybersecurity, and AI-powered analytics [1]. Value-added services now represent a significant and fast-growing revenue stream (21% growth). However, the core business model — network transaction fees — has remained fundamentally the same, making this incremental rather than transformative flexibility.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Mastercard has invested heavily in financial inclusion and digital payment infrastructure in emerging markets where the payoff is long-term and uncertain, demonstrating willingness to sacrifice near-term margins for future network growth [3]. The company's commitment to carbon neutrality targets (surpassing 2025 goals) reflects principled resource allocation.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Mastercard is a best-in-class financial infrastructure compounder delivering Q4 2025 revenue of $8.81B (up 17.5% YoY) and full-year revenue of $32.8B (up 16.4%) with a 45.6% net profit margin and $16.3B in free cash flow [1]. The duopoly position in global card networks creates a toll-booth business model with 100% gross margins and massive operating leverage. Value-added services — cybersecurity, analytics, consulting, AI-powered products — grew 21% in 2025 and represent a high-margin expansion vector beyond transaction processing [1]. At 22.1x forward P/E with a 0.91 PEG ratio, Mastercard offers reasonable valuation for a business growing earnings 24% with virtually no cyclical capex requirements. The company guided FY2026 revenue growth at the high end of low-double digits on a currency-neutral basis with continued operating margin expansion [1].</w:t>
      </w:r>
    </w:p>
    <w:p>
      <w:pPr>
        <w:spacing w:after="120"/>
      </w:pPr>
      <w:r>
        <w:rPr>
          <w:rFonts w:ascii="Calibri" w:hAnsi="Calibri"/>
          <w:b w:val="0"/>
          <w:color w:val="3A4A28"/>
          <w:sz w:val="20"/>
        </w:rPr>
        <w:t>The primary risks center on regulatory and macroeconomic exposure. Antitrust scrutiny of interchange fees in the EU and US could compress the take rate on transaction volumes. The Durbin Amendment expansion and potential merchant surcharge regulations represent ongoing legislative risk [1]. Cross-border revenue (a high-margin segment) is exposed to geopolitical tensions and travel disruption. The elevated D/E ratio of 256% — while manageable given $16B FCF — limits financial flexibility in a severe downturn. Competition from real-time payment networks (FedNow, UPI in India, PIX in Brazil) and cryptocurrency payment rails could erode the duopoly's structural advantage over time, though these threats have been discussed for a decade without materially impacting Mastercard's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Value-added services (cybersecurity, AI analytics, consulting) growing 21% YoY represent the next margin expansion vector as these services carry higher margins than core transaction processing [1]</w:t>
      </w:r>
    </w:p>
    <w:p>
      <w:pPr>
        <w:spacing w:before="40" w:after="40"/>
        <w:ind w:left="283"/>
      </w:pPr>
      <w:r>
        <w:rPr>
          <w:rFonts w:ascii="Calibri" w:hAnsi="Calibri"/>
          <w:b/>
          <w:color w:val="4A6B25"/>
          <w:sz w:val="20"/>
        </w:rPr>
        <w:t xml:space="preserve">2. </w:t>
      </w:r>
      <w:r>
        <w:rPr>
          <w:rFonts w:ascii="Calibri" w:hAnsi="Calibri"/>
          <w:b w:val="0"/>
          <w:color w:val="3A4A28"/>
          <w:sz w:val="20"/>
        </w:rPr>
        <w:t>Digital payment penetration — cash still represents ~80% of global consumer transactions, providing a massive secular tailwind for network volume growth in emerging markets [1]</w:t>
      </w:r>
    </w:p>
    <w:p>
      <w:pPr>
        <w:spacing w:before="40" w:after="40"/>
        <w:ind w:left="283"/>
      </w:pPr>
      <w:r>
        <w:rPr>
          <w:rFonts w:ascii="Calibri" w:hAnsi="Calibri"/>
          <w:b/>
          <w:color w:val="4A6B25"/>
          <w:sz w:val="20"/>
        </w:rPr>
        <w:t xml:space="preserve">3. </w:t>
      </w:r>
      <w:r>
        <w:rPr>
          <w:rFonts w:ascii="Calibri" w:hAnsi="Calibri"/>
          <w:b w:val="0"/>
          <w:color w:val="3A4A28"/>
          <w:sz w:val="20"/>
        </w:rPr>
        <w:t>AI-powered product monetization including agentic solutions, fraud detection, and personalized commerce tools driving incremental revenue per transaction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Interchange fee regulation — EU and US antitrust actions targeting card network fees could compress take rates on ~$9T in annual gross dollar volume [1]</w:t>
      </w:r>
    </w:p>
    <w:p>
      <w:pPr>
        <w:spacing w:before="40" w:after="40"/>
        <w:ind w:left="283"/>
      </w:pPr>
      <w:r>
        <w:rPr>
          <w:rFonts w:ascii="Calibri" w:hAnsi="Calibri"/>
          <w:b/>
          <w:color w:val="4A6B25"/>
          <w:sz w:val="20"/>
        </w:rPr>
        <w:t xml:space="preserve">2. </w:t>
      </w:r>
      <w:r>
        <w:rPr>
          <w:rFonts w:ascii="Calibri" w:hAnsi="Calibri"/>
          <w:b w:val="0"/>
          <w:color w:val="3A4A28"/>
          <w:sz w:val="20"/>
        </w:rPr>
        <w:t>Real-time payment network competition — government-backed systems (FedNow, UPI, PIX) bypassing card networks for domestic transactions, particularly in emerging markets [4]</w:t>
      </w:r>
    </w:p>
    <w:p>
      <w:pPr>
        <w:spacing w:before="40" w:after="40"/>
        <w:ind w:left="283"/>
      </w:pPr>
      <w:r>
        <w:rPr>
          <w:rFonts w:ascii="Calibri" w:hAnsi="Calibri"/>
          <w:b/>
          <w:color w:val="4A6B25"/>
          <w:sz w:val="20"/>
        </w:rPr>
        <w:t xml:space="preserve">3. </w:t>
      </w:r>
      <w:r>
        <w:rPr>
          <w:rFonts w:ascii="Calibri" w:hAnsi="Calibri"/>
          <w:b w:val="0"/>
          <w:color w:val="3A4A28"/>
          <w:sz w:val="20"/>
        </w:rPr>
        <w:t>Macroeconomic sensitivity — consumer spending deceleration in a recession would directly reduce cross-border transaction volumes and GDV growth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Mastercard's payment network is deeply embedded critical infrastructure that AI cannot displace — every AI-powered commerce application, digital wallet, and autonomous transaction system still requires a payment rail to move money [1]. The company's regulatory moats (PCI compliance, banking partnerships, cross-border licensing) create structural barriers that AI startups cannot replicate. Mastercard is using AI defensively (real-time fraud detection across billions of transactions) and offensively (AI-powered consulting, analytics, and cybersecurity products for clients) [2]. AI enhances rather than threatens the core network model. AI Opportunity (1/1): Mastercard actively monetizes AI through its value-added services segment, which grew 21% in 2025, including AI-powered fraud detection, data analytics, and agentic solutions sold to financial institutions and merchants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Mastercard Q4 2025 Earnings Release — $8.81B revenue, 17.5% YoY growth, $32.8B full-year revenue, January 29, 2026</w:t>
      </w:r>
    </w:p>
    <w:p>
      <w:pPr>
        <w:spacing w:before="20" w:after="20"/>
        <w:ind w:left="170"/>
      </w:pPr>
      <w:r>
        <w:rPr>
          <w:rFonts w:ascii="Calibri" w:hAnsi="Calibri"/>
          <w:b/>
          <w:color w:val="4A6B25"/>
          <w:sz w:val="15"/>
        </w:rPr>
        <w:t xml:space="preserve">2. </w:t>
      </w:r>
      <w:r>
        <w:rPr>
          <w:rFonts w:ascii="Calibri" w:hAnsi="Calibri"/>
          <w:b w:val="0"/>
          <w:color w:val="3A4A28"/>
          <w:sz w:val="17"/>
        </w:rPr>
        <w:t>Korn Ferry, Andreessen Horowitz, CIO — Mastercard AI strategy, hub-and-spoke model, Start Path program, 2025-2026</w:t>
      </w:r>
    </w:p>
    <w:p>
      <w:pPr>
        <w:spacing w:before="20" w:after="20"/>
        <w:ind w:left="170"/>
      </w:pPr>
      <w:r>
        <w:rPr>
          <w:rFonts w:ascii="Calibri" w:hAnsi="Calibri"/>
          <w:b/>
          <w:color w:val="4A6B25"/>
          <w:sz w:val="15"/>
        </w:rPr>
        <w:t xml:space="preserve">3. </w:t>
      </w:r>
      <w:r>
        <w:rPr>
          <w:rFonts w:ascii="Calibri" w:hAnsi="Calibri"/>
          <w:b w:val="0"/>
          <w:color w:val="3A4A28"/>
          <w:sz w:val="17"/>
        </w:rPr>
        <w:t>Mastercard ESG Impact Report — declining emissions with rising revenue, surpassed 2025 Scope 1-2-3 targets,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MA (Mastercard),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