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MBC</w:t>
      </w:r>
      <w:r>
        <w:rPr>
          <w:rFonts w:ascii="Calibri" w:hAnsi="Calibri"/>
          <w:b/>
          <w:color w:val="1A2010"/>
          <w:sz w:val="40"/>
        </w:rPr>
        <w:t xml:space="preserve">  MasterBrand, Inc.</w:t>
      </w:r>
    </w:p>
    <w:p>
      <w:pPr>
        <w:spacing w:after="120"/>
      </w:pPr>
      <w:r>
        <w:rPr>
          <w:rFonts w:ascii="Calibri" w:hAnsi="Calibri"/>
          <w:b/>
          <w:color w:val="6E8450"/>
          <w:sz w:val="18"/>
        </w:rPr>
        <w:t>GROWTH SLEEVE · 2026-04-16 · Inspire: 28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Furnishings, Fixtures &amp; Appliances · NYSE · United States</w:t>
      </w:r>
    </w:p>
    <w:p>
      <w:pPr>
        <w:spacing w:after="80"/>
      </w:pPr>
      <w:r>
        <w:rPr>
          <w:rFonts w:ascii="Calibri" w:hAnsi="Calibri"/>
          <w:b w:val="0"/>
          <w:color w:val="3A4A28"/>
          <w:sz w:val="20"/>
        </w:rPr>
        <w:t>MasterBrand, Inc. is the largest residential cabinet manufacturer in North America, offering stock, semi-custom, and premium cabinetry for kitchens, bathrooms, and other areas. The company sells through dealers, retailers, and builders across the United States, Canada, and Mexico. MasterBrand is pending closure of its merger with American Woodmark, which would further consolidate its market leadership.</w:t>
      </w:r>
    </w:p>
    <w:p>
      <w:r>
        <w:rPr>
          <w:rFonts w:ascii="Calibri" w:hAnsi="Calibri"/>
          <w:b/>
          <w:color w:val="6E8450"/>
          <w:sz w:val="18"/>
        </w:rPr>
        <w:t>12,633 Employees · https://www.masterbrand.com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The pending American Woodmark acquisition is a transformative M&amp;A deal creating the undisputed North American cabinet leader, and the 2023 Supreme Cabinetry acquisition added ~5% to 2025 revenue, but organic growth has been flat-to-negative — full-year 2025 revenue of $2.7B was essentially flat versus 2024 and down 16.5% from 2022's $3.3B [1][2]. AI Deployment (0/2): No evidence of AI-powered products, services, or quantified internal AI-driven efficiencies. The company's innovation focus is on cabinetry design and manufacturing optimization, not technology [3]. Market Share (1/2): MasterBrand is the largest residential cabinet manufacturer in North America, and the American Woodmark merger will further solidify that position. However, market leadership has not translated to pricing power or growth in a declining housing market [1]. Pipeline (0/2): No next-generation products announced with specific timelines. The pipeline is acquisition integration ($90M synergies by year 3 from American Woodmark, $28M from Supreme) and $30M cost reductions, not product innovation [2]. R&amp;D Intensity (1/1): Cabinet design and product development investment is ongoing — the company offers stock, semi-custom, and premium lines — but this is incremental product design rather than transformative R&amp;D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MasterBrand's ESG report positions the company as 'a responsible steward of resources' with sustainable wood sourcing (80% of hardwood from North American supply), which is clear and connects operations to sustainability, but does not articulate a distinctive purpose beyond operational responsibility [4]. Community Impact (1/2): The company employs 12,633 workers across North American manufacturing facilities, providing blue-collar employment in communities. Sustainable sourcing practices (80% North American hardwood) demonstrate environmental awareness [4]. Employee Retention (0/2): Glassdoor reviews paint a negative picture — one reviewer cited '3 rounds of layoffs over 3 years,' described upper management as 'incompetent,' and characterized company culture as deteriorating following consecutive years of restructuring [3]. Insider Buying (1/2): CEO Dave Banyard, a former U.S. Navy F/A-18 pilot, brings disciplined leadership and long-term perspective, but no specific insider buying transactions were identified in recent filings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MasterBrand's financials are under significant pressure from housing market weakness and tariff headwinds. Full-year 2025 revenue was $2.7B (up 1.3% YoY including Supreme acquisition contribution), but Q4 revenue declined 3.5% to $644.6M and Q1 2026 is guided down mid-to-high single digits [1][2]. Profitability has deteriorated sharply: full-year EPS fell to $0.21 from $0.96 in 2024, Q4 posted a net loss of $42M, and adjusted EBITDA margin compressed to 10.9% (from 13.5%) with Q1 2026 guided at 3.9-5.3% [2]. D/E of 87.3% reflects merger-related debt ($791M net debt, 2.7x leverage). ROE of 2.0% and profit margin of 1.0% are barely above zero. Tariffs represent 5-6% unmitigated gross exposure to 2026 net sales with most impact front-loaded in H1 [2]. The 3-year revenue CAGR of -5.8% (from $3.3B in 2022) reflects secular housing weakness. Forward P/E of 17.3x is the bright spot, reflecting low expectations. Liquidity floor cleared: $20.5M daily traded value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MasterBrand under CEO Dave Banyard is playing an aggressive consolidation game — acquiring Supreme and American Woodmark to build the largest North American cabinet company. Sinek would see the acquisition strategy as potentially infinite (building enduring market position) but would question whether the company has a Just Cause beyond being the biggest. The layoffs, margin compression, and focus on cost synergies suggest a company optimizing for financial metrics rather than a higher purpose. The transformative American Woodmark merger earns credit for existential flexibility, but the absence of a genuine mission and deteriorating employee culture are red flags.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MasterBrand's stated identity revolves around being 'the largest residential cabinet manufacturer in North America' — a market position, not a Just Cause [4]. The ESG report's 'responsible steward of resources' framing shows awareness but does not rise to a vision of a future state that people will sacrifice to advance. Leadership communications focus on synergies, cost reductions, and market share — all finite objectives.</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Glassdoor reviews describe three rounds of layoffs in three years, 'incompetent and uncaring upper management,' and deteriorating company culture [3]. A company executing consecutive layoffs while pursuing acquisitions sends a mixed signal to employees — growth for the entity, insecurity for the individual. This does not reflect a Circle of Safety. The 12,633-employee manufacturing workforce faces restructuring uncertainty as the American Woodmark integration adds further organizational disruption.</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MasterBrand operates in a competitive market alongside Fortune Brands Home &amp; Security (FBHS) and other cabinet manufacturers. The American Woodmark merger itself acknowledges a rival's complementary strengths — rather than competing to destroy, MasterBrand chose to combine, suggesting an awareness that the rival had capabilities worth integrating rather than merely beating [1].</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American Woodmark merger is a transformative strategic move — combining the two largest independent cabinet companies to create a dominant platform with $90M in expected synergies by year three [2]. The Supreme acquisition in 2023 similarly showed willingness to fundamentally reshape the company through M&amp;A. These are not incremental moves but company-defining pivots that alter MasterBrand's competitive position, manufacturing footprint, and market reach.</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Pursuing the American Woodmark acquisition during a housing downturn with tariff headwinds shows conviction — betting on long-term market position when near-term conditions are adverse [2]. The $30M cost-reduction initiative and willingness to absorb short-term earnings pain (EPS from $0.96 to $0.21) for strategic positioning demonstrates some courage, though the layoffs suggest cost-cutting may be driven more by necessity than strategic vision.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MasterBrand is the largest residential cabinet manufacturer in North America with $2.7B in revenue and the pending American Woodmark merger will further consolidate its dominant position with an expected $90M in run-rate cost synergies by year three [1][2]. The stock trades at 17.3x forward P/E and just 0.4x revenue — a deep value multiple that reflects significant housing market pessimism but offers asymmetric upside if the housing cycle turns. CEO Dave Banyard's $30M cost-reduction initiative and focus on tariff mitigation (targeting 100% offset by end of 2026) demonstrate operational discipline [2]. Free cash flow of $117.5M in 2025 despite a weak year, with $183M cash and $442M revolver availability, provides adequate liquidity to fund the merger integration. The residential cabinet market is cyclical but non-discretionary for new construction and aging-home remodeling.</w:t>
      </w:r>
    </w:p>
    <w:p>
      <w:pPr>
        <w:spacing w:after="120"/>
      </w:pPr>
      <w:r>
        <w:rPr>
          <w:rFonts w:ascii="Calibri" w:hAnsi="Calibri"/>
          <w:b w:val="0"/>
          <w:color w:val="3A4A28"/>
          <w:sz w:val="20"/>
        </w:rPr>
        <w:t>The bear case is significant and multi-layered. Revenue has declined from $3.3B (2022) to $2.7B (2025), a -5.8% three-year CAGR reflecting secular weakness in the housing market as elevated interest rates suppress both new construction and remodeling activity [1][5]. Profitability has collapsed — EPS dropped from $0.96 (2024) to $0.21 (2025), with Q4 posting a $42M net loss and Q1 2026 guided at -$0.06 to $0.00 EPS [2]. Tariffs represent 5-6% unmitigated gross exposure to 2026 net sales, with most impact front-loaded in H1 — this could erode the thin 1% profit margin entirely. The American Woodmark merger adds execution and integration risk on top of an already stressed business. Glassdoor reviews citing repeated layoffs and poor culture suggest organizational strain that could impair integration execution. Net debt of $791M (2.7x leverage) leaves limited margin for error if the housing downturn deepens [2][5].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American Woodmark merger closure and integration — $90M in targeted run-rate cost synergies by year three could meaningfully improve margins once the housing market stabilizes [2]</w:t>
      </w:r>
    </w:p>
    <w:p>
      <w:pPr>
        <w:spacing w:before="40" w:after="40"/>
        <w:ind w:left="283"/>
      </w:pPr>
      <w:r>
        <w:rPr>
          <w:rFonts w:ascii="Calibri" w:hAnsi="Calibri"/>
          <w:b/>
          <w:color w:val="4A6B25"/>
          <w:sz w:val="20"/>
        </w:rPr>
        <w:t xml:space="preserve">2. </w:t>
      </w:r>
      <w:r>
        <w:rPr>
          <w:rFonts w:ascii="Calibri" w:hAnsi="Calibri"/>
          <w:b w:val="0"/>
          <w:color w:val="3A4A28"/>
          <w:sz w:val="20"/>
        </w:rPr>
        <w:t>Housing market recovery — any decline in mortgage rates from current levels would directly drive cabinet demand through both new construction and remodeling activity</w:t>
      </w:r>
    </w:p>
    <w:p>
      <w:pPr>
        <w:spacing w:before="40" w:after="40"/>
        <w:ind w:left="283"/>
      </w:pPr>
      <w:r>
        <w:rPr>
          <w:rFonts w:ascii="Calibri" w:hAnsi="Calibri"/>
          <w:b/>
          <w:color w:val="4A6B25"/>
          <w:sz w:val="20"/>
        </w:rPr>
        <w:t xml:space="preserve">3. </w:t>
      </w:r>
      <w:r>
        <w:rPr>
          <w:rFonts w:ascii="Calibri" w:hAnsi="Calibri"/>
          <w:b w:val="0"/>
          <w:color w:val="3A4A28"/>
          <w:sz w:val="20"/>
        </w:rPr>
        <w:t>Tariff mitigation reaching 100% offset by end of 2026, removing the 5-6% gross cost headwind and restoring margins to normalized levels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Prolonged housing downturn — if interest rates remain elevated and housing starts stay depressed, MasterBrand's revenue decline could accelerate further from the -5.8% three-year CAGR [1][5]</w:t>
      </w:r>
    </w:p>
    <w:p>
      <w:pPr>
        <w:spacing w:before="40" w:after="40"/>
        <w:ind w:left="283"/>
      </w:pPr>
      <w:r>
        <w:rPr>
          <w:rFonts w:ascii="Calibri" w:hAnsi="Calibri"/>
          <w:b/>
          <w:color w:val="4A6B25"/>
          <w:sz w:val="20"/>
        </w:rPr>
        <w:t xml:space="preserve">2. </w:t>
      </w:r>
      <w:r>
        <w:rPr>
          <w:rFonts w:ascii="Calibri" w:hAnsi="Calibri"/>
          <w:b w:val="0"/>
          <w:color w:val="3A4A28"/>
          <w:sz w:val="20"/>
        </w:rPr>
        <w:t>Tariff exposure of 5-6% of net sales concentrated in H1 2026 could drive quarterly losses and force additional restructuring beyond the current $30M cost-reduction plan [2]</w:t>
      </w:r>
    </w:p>
    <w:p>
      <w:pPr>
        <w:spacing w:before="40" w:after="40"/>
        <w:ind w:left="283"/>
      </w:pPr>
      <w:r>
        <w:rPr>
          <w:rFonts w:ascii="Calibri" w:hAnsi="Calibri"/>
          <w:b/>
          <w:color w:val="4A6B25"/>
          <w:sz w:val="20"/>
        </w:rPr>
        <w:t xml:space="preserve">3. </w:t>
      </w:r>
      <w:r>
        <w:rPr>
          <w:rFonts w:ascii="Calibri" w:hAnsi="Calibri"/>
          <w:b w:val="0"/>
          <w:color w:val="3A4A28"/>
          <w:sz w:val="20"/>
        </w:rPr>
        <w:t>American Woodmark integration risk — combining two large cabinet manufacturers during a housing downturn with 12,633+ employees and multiple facilities creates operational complexity and potential for synergy shortfalls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Cabinet manufacturing is a deeply physical-world operation — wood processing, assembly, finishing, logistics, and installation — that AI structurally cannot displace [1]. Housing demand is driven by demographics, interest rates, and remodeling cycles, not technology adoption. MasterBrand's supply chain (80% North American hardwood), dealer/retailer relationships, and manufacturing scale create physical infrastructure barriers that software cannot replicate. Tariffs and trade policy, not AI, are the actual risk vectors for this business. Analysts do not discuss AI as a risk factor for the residential cabinetry industry [2]. AI Opportunity (0/1): MasterBrand does not generate quantifiable revenue from AI products or services. Some potential for AI-optimized manufacturing, design visualization, or supply chain management, but no evidence of current AI revenue contribution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28</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Hiring Ethics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MasterBrand Q4 2025 Earnings Release — $644.6M Q4 revenue, $2.7B full-year, $0.21 EPS, February 2026</w:t>
      </w:r>
    </w:p>
    <w:p>
      <w:pPr>
        <w:spacing w:before="20" w:after="20"/>
        <w:ind w:left="170"/>
      </w:pPr>
      <w:r>
        <w:rPr>
          <w:rFonts w:ascii="Calibri" w:hAnsi="Calibri"/>
          <w:b/>
          <w:color w:val="4A6B25"/>
          <w:sz w:val="15"/>
        </w:rPr>
        <w:t xml:space="preserve">2. </w:t>
      </w:r>
      <w:r>
        <w:rPr>
          <w:rFonts w:ascii="Calibri" w:hAnsi="Calibri"/>
          <w:b w:val="0"/>
          <w:color w:val="3A4A28"/>
          <w:sz w:val="17"/>
        </w:rPr>
        <w:t>MasterBrand Q4 2025 Earnings Call Transcript — tariff impact, American Woodmark synergies, Q1 2026 guidance, Investing.com/Motley Fool, February 2026</w:t>
      </w:r>
    </w:p>
    <w:p>
      <w:pPr>
        <w:spacing w:before="20" w:after="20"/>
        <w:ind w:left="170"/>
      </w:pPr>
      <w:r>
        <w:rPr>
          <w:rFonts w:ascii="Calibri" w:hAnsi="Calibri"/>
          <w:b/>
          <w:color w:val="4A6B25"/>
          <w:sz w:val="15"/>
        </w:rPr>
        <w:t xml:space="preserve">3. </w:t>
      </w:r>
      <w:r>
        <w:rPr>
          <w:rFonts w:ascii="Calibri" w:hAnsi="Calibri"/>
          <w:b w:val="0"/>
          <w:color w:val="3A4A28"/>
          <w:sz w:val="17"/>
        </w:rPr>
        <w:t>MasterBrand CEO Dave Banyard Profile and Glassdoor Employee Reviews — leadership background and culture assessment, accessed April 2026</w:t>
      </w:r>
    </w:p>
    <w:p>
      <w:pPr>
        <w:spacing w:before="20" w:after="20"/>
        <w:ind w:left="170"/>
      </w:pPr>
      <w:r>
        <w:rPr>
          <w:rFonts w:ascii="Calibri" w:hAnsi="Calibri"/>
          <w:b/>
          <w:color w:val="4A6B25"/>
          <w:sz w:val="15"/>
        </w:rPr>
        <w:t xml:space="preserve">4. </w:t>
      </w:r>
      <w:r>
        <w:rPr>
          <w:rFonts w:ascii="Calibri" w:hAnsi="Calibri"/>
          <w:b w:val="0"/>
          <w:color w:val="3A4A28"/>
          <w:sz w:val="17"/>
        </w:rPr>
        <w:t>MasterBrand Inaugural ESG Report — sustainable sourcing, environmental stewardship, BusinessWire, June 2023</w:t>
      </w:r>
    </w:p>
    <w:p>
      <w:pPr>
        <w:spacing w:before="20" w:after="20"/>
        <w:ind w:left="170"/>
      </w:pPr>
      <w:r>
        <w:rPr>
          <w:rFonts w:ascii="Calibri" w:hAnsi="Calibri"/>
          <w:b/>
          <w:color w:val="4A6B25"/>
          <w:sz w:val="15"/>
        </w:rPr>
        <w:t xml:space="preserve">5. </w:t>
      </w:r>
      <w:r>
        <w:rPr>
          <w:rFonts w:ascii="Calibri" w:hAnsi="Calibri"/>
          <w:b w:val="0"/>
          <w:color w:val="3A4A28"/>
          <w:sz w:val="17"/>
        </w:rPr>
        <w:t>Yahoo Finance / yfinance data for MBC (MasterBrand), retrieved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