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MCHP</w:t>
      </w:r>
      <w:r>
        <w:rPr>
          <w:rFonts w:ascii="Calibri" w:hAnsi="Calibri"/>
          <w:b/>
          <w:color w:val="1A2010"/>
          <w:sz w:val="40"/>
        </w:rPr>
        <w:t xml:space="preserve">  Microchip Technology Incorporated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2026-03-27 · Inspire: 55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Semiconductors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Microchip Technology develops, manufactures, and sells smart, connected, and secure embedded control solutions including microcontrollers, analog and mixed-signal devices, FPGAs, and memory products. The company serves automotive, industrial, consumer, aerospace, defense, and data center markets across the Americas, Europe, and Asia.</w:t>
      </w:r>
    </w:p>
    <w:p>
      <w:r>
        <w:rPr>
          <w:rFonts w:ascii="Calibri" w:hAnsi="Calibri"/>
          <w:b/>
          <w:color w:val="6E8450"/>
          <w:sz w:val="18"/>
        </w:rPr>
        <w:t>19,400 Employees · https://www.microchip.com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Microchip has successfully navigated the severe semiconductor down-cycle with a nine-point recovery plan, and CEO Sanghi's return to leadership has stabilized the business with Q3 FY2026 revenue of ~$1.185B representing 12% YoY growth [1]. AI Deployment (1/2): While Microchip's embedded controllers and analog products enable AI at the edge, the company has not disclosed specific AI-driven internal cost savings or AI-powered product revenue [1]. Market Share Leadership (1/2): Microchip holds strong positions in 8-bit and 16-bit microcontrollers and analog products but faces intense competition from Texas Instruments, STMicroelectronics, and NXP in key markets [1]. Product Pipeline (1/2): Broad product portfolio across MCU, analog, and FPGA with continuous new design wins, but no transformative next-gen product announcements with specific launch dates [1]. R&amp;D Intensity (1/1): R&amp;D spending as a percentage of revenue is above semiconductor industry average, reflecting commitment to technology breadth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Microchip's mission to be a leading provider of smart, connected, and secure embedded control solutions is commercially focused without a broader societal purpose statement [1]. Community Impact (1/2): The company has 141 consecutive quarters of non-GAAP profitability and Dividend Aristocrat status, demonstrating long-term stakeholder commitment, but specific community investment metrics are not prominently disclosed [1]. Employee Retention (1/2): With 19,400 employees and recent capacity rationalization, workforce morale during the down-cycle recovery may be mixed [1]. Insider Buying (1/2): CEO Sanghi's return from retirement to lead the recovery signals personal conviction, but insider transaction data is not prominently bullish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Microchip is recovering from a severe down-cycle — ROE is -1.1% and profit margin is -1.6% on a trailing basis, reflecting the cyclical trough [1]. D/E of 82.4% is moderate, and forward P/E of 24.1 is elevated relative to current profitability but reflects recovery expectations. Revenue grew 15.6% sequentially through FY2026, and non-GAAP EPS is recovering (Q3 guided ~$0.40) [1]. Dividend yield of 2.83% but payout ratio of 318% (GAAP) is unsustainable near-term — the dividend is supported by non-GAAP cash flows and management commitment to the Dividend Aristocrat streak [1]. Daily dollar volume of ~$586M provides excellent liquidity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Microchip's 141 consecutive quarters of non-GAAP profitability and 22-year dividend growth streak demonstrate remarkable long-term consistency, but the current down-cycle recovery and capacity rationalization introduce finite-game urgency.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Enabling 'smart, connected, and secure' embedded systems is commercially valuable but not a transcendent purpose — Microchip's mission is about market leadership rather than societal transformation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Sanghi's return from retirement to lead the recovery signals deep organizational trust, and the company's long tenure of consistent profitability suggests strong internal culture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Microchip competes against TI, STMicro, and NXP with a focus on breadth, design win momentum, and customer service rather than destructive price wars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nine-point recovery plan and aggressive capital expenditure reduction to &lt;$100M for FY2026 show operational flexibility, though the strategic direction remains fundamentally unchanged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Maintaining the Dividend Aristocrat streak through a severe down-cycle while investing in recovery requires financial discipline and long-term conviction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Microchip is in the early innings of a cyclical recovery from the most severe semiconductor down-cycle in its history, with Q3 FY2026 revenue of ~$1.185B representing 12% YoY growth and sequential improvement for six consecutive quarters [1]. CEO Sanghi's nine-point recovery plan is gaining traction, with bookings 'very strong' in the December quarter and lead times beginning to lengthen, classic early-cycle signals. The company's 22-year Dividend Aristocrat streak and 141 consecutive quarters of non-GAAP profitability demonstrate exceptional long-term consistency, and as profitability normalizes toward historical 30%+ margins, EPS could recover from $1.31 (FY2025) toward $4-5+ (historical peak $4.92)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Microchip's recovery may be slower than the market expects — trailing ROE is -1.1%, profit margin is -1.6%, and the stock at $64 with a forward P/E of 24x already prices in substantial recovery [1]. The stock has fallen 23% from its 52-week high of $83.35, and automotive — a key end market — remains the weakest segment. D/E of 82% limits balance sheet flexibility, and the GAAP payout ratio of 318% makes the dividend technically unsupported by GAAP earnings, even if non-GAAP cash flows cover it. Competition from TI's aggressive capacity expansion and potential trade tariffs add uncertainty to the recovery timeline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sequential revenue growth through Q4 FY2026 and into FY2027 would confirm the cyclical recovery is sustainable and broad-based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Margin recovery toward historical 30%+ levels as revenue scales from the $970M trough toward $5B+ normalized levels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Automotive market inflection and data center demand ramp could accelerate recovery beyond current consensus expectations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Automotive end market weakness may persist longer than expected, constraining the pace of overall revenue recovery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Forward P/E of 24x prices in substantial recovery — any disappointment in growth trajectory could trigger material downside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Texas Instruments' aggressive capacity expansion and potential trade tariffs create competitive and margin headwinds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Microchip's embedded control solutions (microcontrollers, analog, FPGAs) are essential enabling hardware for AI deployment at the edge — these physical semiconductor devices cannot be disrupted by AI software [1]. The broad customer base across automotive, industrial, and defense markets provides diversification. However, consolidation among larger semiconductor players and AI-driven design automation could erode Microchip's competitive position over time. AI Opportunity (1/1): Microchip's products are key enablers of edge AI computing, IoT, and smart connected systems, positioning the company as an indirect beneficiary of AI deployment across industrial and automotive markets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Microchip Technology Q2 FY2026 Earnings and Q3 Guidance Updates, November 2025 -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Microchip Technology Investor Relations, accessed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MCHP key statistics,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