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MCO</w:t>
      </w:r>
      <w:r>
        <w:rPr>
          <w:rFonts w:ascii="Calibri" w:hAnsi="Calibri"/>
          <w:b/>
          <w:color w:val="1A2010"/>
          <w:sz w:val="40"/>
        </w:rPr>
        <w:t xml:space="preserve">  Moody's Corporation</w:t>
      </w:r>
    </w:p>
    <w:p>
      <w:pPr>
        <w:spacing w:after="120"/>
      </w:pPr>
      <w:r>
        <w:rPr>
          <w:rFonts w:ascii="Calibri" w:hAnsi="Calibri"/>
          <w:b/>
          <w:color w:val="6E8450"/>
          <w:sz w:val="18"/>
        </w:rPr>
        <w:t>GROWTH SLEEVE · 2026-04-29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NYSE · United States</w:t>
      </w:r>
    </w:p>
    <w:p>
      <w:pPr>
        <w:spacing w:after="80"/>
      </w:pPr>
      <w:r>
        <w:rPr>
          <w:rFonts w:ascii="Calibri" w:hAnsi="Calibri"/>
          <w:b w:val="0"/>
          <w:color w:val="3A4A28"/>
          <w:sz w:val="20"/>
        </w:rPr>
        <w:t>Moody's Corporation operates as an integrated risk assessment firm through two segments: Moody's Analytics (MA) and Moody's Investors Service (MIS). MA provides credit research, analytics, data sets, and cloud-based SaaS solutions for banking, insurance, and KYC workflows. MIS publishes credit ratings and assessment services on corporate, financial institution, governmental, and structured finance obligations. Founded in 1900 and headquartered in New York.</w:t>
      </w:r>
    </w:p>
    <w:p>
      <w:r>
        <w:rPr>
          <w:rFonts w:ascii="Calibri" w:hAnsi="Calibri"/>
          <w:b/>
          <w:color w:val="6E8450"/>
          <w:sz w:val="18"/>
        </w:rPr>
        <w:t>16,000 Employees · https://www.moodys.com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Moody's has meaningfully transformed from a pure-play ratings agency into an integrated analytics platform, with MA segment ARR reaching $3.607B in Q1 2026, up 8% YoY, driven by the shift to subscription-based SaaS models [1][2]. AI Deployment (2/2): Moody's was featured in Harvard Business Review for going 'all in on Gen AI,' deploying Moody's Copilot across 14,000 employees with measurable productivity gains; CEO Fauber drove early adoption starting in 2023, integrating AI directly into credit analysis workflows [3][4]. Market Share Leadership (2/2): One of only three globally recognized credit rating agencies (alongside S&amp;P and Fitch), maintaining oligopolistic market share in a deeply regulated industry with exceptionally high barriers to entry [2]. Product Pipeline (1/2): Moody's is building AI-enhanced risk assessment and KYC solutions including Maxsight unified risk platform, though specific next-gen product timelines are not publicly detailed beyond ongoing feature releases [1]. R&amp;D Intensity (1/1): Above-average technology investment for the financial data sector, with significant spending on AI infrastructure, cloud migration, and analytics platform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Moody's states its purpose as providing 'trusted insights and standards that help decision-makers act with confidence' — clear and relevant to what the company does, but not especially distinctive or inspiring beyond the industry norm. It describes current function rather than an aspirational future state [5]. Community &amp; Charitable Impact (1/2): Moody's Foundation supports financial literacy and economic empowerment programs; the company has been included in the FTSE4Good Index for seven consecutive years, though specific charitable dollar amounts or distinctive community programs are not prominently featured [6]. Employee Retention (1/2): Glassdoor rating of 3.8/5 with 74% recommending to a friend; certified as a 2025 Great Place to Work and named a Fortune Best Workplace in New York, suggesting above-average but not exceptional retention [4]. Insider Buying (0/2): Significant net insider selling in recent months — CEO Fauber sold ~$3M in shares in March-April 2026, CFO Heuland and other officers also selling. No meaningful insider purchases identified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Moody's delivers strong financial infrastructure with 31.7% profit margins, 71.4% ROE, and double-digit 5-year revenue CAGR of 12.2% [2]. The primary weakness is elevated leverage at 235.5% D/E, typical for asset-light financial services businesses that carry substantial goodwill from acquisitions. Forward P/E of 24.7 and PEG of 2.07 reflect premium valuation relative to the high-single-digit growth rate, though the oligopolistic market position and recurring revenue model justify some premium [1][2]. Q1 2026 revenue of $2.08B (+8% YoY) with 45% operating margin and 52-53% adjusted operating margin guidance demonstrates the operating leverage inherent in the platform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Moody's demonstrates genuine long-term orientation through its 125-year history and successful multi-decade evolution from a ratings publisher to an integrated analytics platform, but the company's competitive language often focuses on market dominance rather than purpose-driven improvement, and its mission lacks the transformative quality of a true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Moody's purpose of providing 'trusted insights and standards' reflects a genuine commitment to market transparency and informed decision-making, and the company's 125-year track record validates long-term orientation. However, the purpose is more functional than aspirational — it describes what Moody's does rather than painting a vision of a future state worth sacrificing for. The ratings crisis of 2008 tested this purpose and Moody's responded with reforms, but the cause doesn't rise to the level of a competitive advantage in itself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Moody's earned Great Place to Work certification (2025) and Fortune Best Workplaces in New York recognition, with a 3.8/5 Glassdoor rating and 74% recommendation rate [4]. CEO Fauber's decision to put AI tools directly in employees' hands rather than using AI to replace them signals trust in the workforce. However, the culture appears solid rather than exceptional — no evidence of unusually long tenure or standout psychological safety practices that would distinguish it from peers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Moody's operates in a healthy competitive dynamic with S&amp;P Global and Fitch, and its recent strategic partnership with MSCI for ESG data — effectively acknowledging MSCI's superior position in ESG ratings and choosing collaboration over competition — demonstrates an infinite mindset toward rivalry [6]. Management framing around 'being the disruptor rather than the disrupted' suggests competitive awareness focused on self-improvement rather than opponent destruction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Moody's has evolved significantly from a pure ratings publisher to an integrated analytics and SaaS platform, with MA now generating roughly half of total revenue through recurring subscriptions [1][2]. The acquisition of V.E. for ESG capabilities and subsequent strategic pivot to partner with MSCI shows willingness to abandon a business line when another player executes better. These are meaningful adaptations but incremental rather than transformative pivots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Fauber demonstrated courage by betting heavily on AI adoption across the entire organization starting in 2023, before most financial services firms had committed to enterprise-wide AI deployment — an investment that carried real execution risk [3]. The decision to exit the ESG ratings business and partner with MSCI also showed willingness to sacrifice revenue for strategic clarity. However, the company's aggressive share repurchase program ($2.5B in 2026) and high leverage suggest some optimization for near-term shareholder returns over long-term balance sheet strength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Moody's is a durable franchise operating in an oligopolistic market with only three major global credit rating agencies. Q1 2026 delivered record results with $2.08B revenue (+8% YoY), 45% operating margins, and adjusted diluted EPS of $4.33 (+13% YoY), while MA's ARR grew to $3.6B. The company's early and aggressive AI adoption — featured as an HBR case study — positions it to drive margin expansion through the Moody's Copilot platform and AI-enhanced analytics products sold to financial institution clients. Full-year 2026 guidance calls for high-single-digit revenue growth, 52-53% adjusted operating margins, and $16.40-$17.00 adjusted EPS, with $2.5B in planned buybacks providing additional shareholder support.</w:t>
      </w:r>
    </w:p>
    <w:p>
      <w:pPr>
        <w:spacing w:after="120"/>
      </w:pPr>
      <w:r>
        <w:rPr>
          <w:rFonts w:ascii="Calibri" w:hAnsi="Calibri"/>
          <w:b w:val="0"/>
          <w:color w:val="3A4A28"/>
          <w:sz w:val="20"/>
        </w:rPr>
        <w:t>The bear case centers on premium valuation (32.9x trailing P/E, 24.7x forward P/E) for a business growing revenue at only 8%, implying investors pay heavily for the regulatory moat and recurring revenue model. Leverage at 235% D/E leaves limited buffer if capital markets activity — which drives MIS issuance revenue — experiences a cyclical downturn. The company's decision to exit ESG ratings and partner with MSCI, while strategically sound, removes a potential growth avenue. Significant insider selling by CEO Fauber ($3M+ in early 2026) and other officers suggests leadership may view the stock as fully valued at current levels, and the PEG ratio of 2.07 confirms the valuation stretches relative to the growth 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monetization through Moody's Copilot and AI-enhanced analytics products could accelerate MA segment growth beyond the current 8% ARR trajectory as financial institutions increase AI budgets</w:t>
      </w:r>
    </w:p>
    <w:p>
      <w:pPr>
        <w:spacing w:before="40" w:after="40"/>
        <w:ind w:left="283"/>
      </w:pPr>
      <w:r>
        <w:rPr>
          <w:rFonts w:ascii="Calibri" w:hAnsi="Calibri"/>
          <w:b/>
          <w:color w:val="4A6B25"/>
          <w:sz w:val="20"/>
        </w:rPr>
        <w:t xml:space="preserve">2. </w:t>
      </w:r>
      <w:r>
        <w:rPr>
          <w:rFonts w:ascii="Calibri" w:hAnsi="Calibri"/>
          <w:b w:val="0"/>
          <w:color w:val="3A4A28"/>
          <w:sz w:val="20"/>
        </w:rPr>
        <w:t>Capital markets recovery driving increased bond issuance volumes would boost the higher-margin MIS segment, which generates outsized operating leverage on incremental revenue</w:t>
      </w:r>
    </w:p>
    <w:p>
      <w:pPr>
        <w:spacing w:before="40" w:after="40"/>
        <w:ind w:left="283"/>
      </w:pPr>
      <w:r>
        <w:rPr>
          <w:rFonts w:ascii="Calibri" w:hAnsi="Calibri"/>
          <w:b/>
          <w:color w:val="4A6B25"/>
          <w:sz w:val="20"/>
        </w:rPr>
        <w:t xml:space="preserve">3. </w:t>
      </w:r>
      <w:r>
        <w:rPr>
          <w:rFonts w:ascii="Calibri" w:hAnsi="Calibri"/>
          <w:b w:val="0"/>
          <w:color w:val="3A4A28"/>
          <w:sz w:val="20"/>
        </w:rPr>
        <w:t>Margin expansion toward the 52-53% adjusted operating margin target as subscription mix increases and AI-driven automation reduces per-unit delivery costs across both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disruption to the NRSRO oligopoly — any move by regulators to reduce reliance on credit ratings or introduce additional designated agencies would erode Moody's pricing power and competitive moat</w:t>
      </w:r>
    </w:p>
    <w:p>
      <w:pPr>
        <w:spacing w:before="40" w:after="40"/>
        <w:ind w:left="283"/>
      </w:pPr>
      <w:r>
        <w:rPr>
          <w:rFonts w:ascii="Calibri" w:hAnsi="Calibri"/>
          <w:b/>
          <w:color w:val="4A6B25"/>
          <w:sz w:val="20"/>
        </w:rPr>
        <w:t xml:space="preserve">2. </w:t>
      </w:r>
      <w:r>
        <w:rPr>
          <w:rFonts w:ascii="Calibri" w:hAnsi="Calibri"/>
          <w:b w:val="0"/>
          <w:color w:val="3A4A28"/>
          <w:sz w:val="20"/>
        </w:rPr>
        <w:t>Capital markets cyclicality exposure in the MIS segment, where a sustained downturn in bond issuance (rising rates, recession, or credit market dislocation) could significantly compress the highest-margin revenue stream</w:t>
      </w:r>
    </w:p>
    <w:p>
      <w:pPr>
        <w:spacing w:before="40" w:after="40"/>
        <w:ind w:left="283"/>
      </w:pPr>
      <w:r>
        <w:rPr>
          <w:rFonts w:ascii="Calibri" w:hAnsi="Calibri"/>
          <w:b/>
          <w:color w:val="4A6B25"/>
          <w:sz w:val="20"/>
        </w:rPr>
        <w:t xml:space="preserve">3. </w:t>
      </w:r>
      <w:r>
        <w:rPr>
          <w:rFonts w:ascii="Calibri" w:hAnsi="Calibri"/>
          <w:b w:val="0"/>
          <w:color w:val="3A4A28"/>
          <w:sz w:val="20"/>
        </w:rPr>
        <w:t>Premium valuation risk at 2.07x PEG with significant insider selling — any miss on the high-single-digit growth guidance or margin targets could trigger a meaningful multiple compression given the stock trades at 32.9x trailing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Moody's core ratings business is deeply protected by regulatory moats — the company is one of only three Nationally Recognized Statistical Rating Organizations (NRSROs), and credit ratings are legally required for bond issuance, securitization, and bank capital calculations [2]. AI cannot replicate the regulatory designation, issuer relationships, or the 125-year track record that underpins institutional trust. The analytics segment benefits from proprietary data assets covering 300M+ entities that create defensible competitive advantages [5]. Some exposure exists in research and advisory functions where AI tools could reduce analyst headcount at client firms, but Moody's is positioned as the AI tool provider rather than the disrupted party [3]. AI Opportunity (1/1): Moody's generates meaningful AI-related revenue through AI-enhanced analytics products, Moody's Copilot for internal productivity, and AI-powered KYC and risk assessment solutions sold to financial institutions; CEO Fauber was featured in HBR as a case study in enterprise AI transformation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Moody's Corporation Q1 2026 Earnings Release — record results with $2.08B revenue,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MCO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Harvard Business Review — 'How a Legacy Financial Institution Went All In on Gen AI,' March 2025</w:t>
      </w:r>
    </w:p>
    <w:p>
      <w:pPr>
        <w:spacing w:before="20" w:after="20"/>
        <w:ind w:left="170"/>
      </w:pPr>
      <w:r>
        <w:rPr>
          <w:rFonts w:ascii="Calibri" w:hAnsi="Calibri"/>
          <w:b/>
          <w:color w:val="4A6B25"/>
          <w:sz w:val="15"/>
        </w:rPr>
        <w:t xml:space="preserve">4. </w:t>
      </w:r>
      <w:r>
        <w:rPr>
          <w:rFonts w:ascii="Calibri" w:hAnsi="Calibri"/>
          <w:b w:val="0"/>
          <w:color w:val="3A4A28"/>
          <w:sz w:val="17"/>
        </w:rPr>
        <w:t>Microsoft 365 Developer Blog — 'Roadmap to empowering your workforce with AI: How Moody's copilot ignited AI innovation'</w:t>
      </w:r>
    </w:p>
    <w:p>
      <w:pPr>
        <w:spacing w:before="20" w:after="20"/>
        <w:ind w:left="170"/>
      </w:pPr>
      <w:r>
        <w:rPr>
          <w:rFonts w:ascii="Calibri" w:hAnsi="Calibri"/>
          <w:b/>
          <w:color w:val="4A6B25"/>
          <w:sz w:val="15"/>
        </w:rPr>
        <w:t xml:space="preserve">5. </w:t>
      </w:r>
      <w:r>
        <w:rPr>
          <w:rFonts w:ascii="Calibri" w:hAnsi="Calibri"/>
          <w:b w:val="0"/>
          <w:color w:val="3A4A28"/>
          <w:sz w:val="17"/>
        </w:rPr>
        <w:t>Moody's Corporation — Sustainability and corporate responsibility page,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Neudata Intelligence — 'Moody's to discontinue ESG scores and partner with MSCI,' 2025</w:t>
      </w:r>
    </w:p>
    <w:p>
      <w:pPr>
        <w:spacing w:before="20" w:after="20"/>
        <w:ind w:left="170"/>
      </w:pPr>
      <w:r>
        <w:rPr>
          <w:rFonts w:ascii="Calibri" w:hAnsi="Calibri"/>
          <w:b/>
          <w:color w:val="4A6B25"/>
          <w:sz w:val="15"/>
        </w:rPr>
        <w:t xml:space="preserve">7. </w:t>
      </w:r>
      <w:r>
        <w:rPr>
          <w:rFonts w:ascii="Calibri" w:hAnsi="Calibri"/>
          <w:b w:val="0"/>
          <w:color w:val="3A4A28"/>
          <w:sz w:val="17"/>
        </w:rPr>
        <w:t>SEC Form 4 filings — MCO insider transactions, March-April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