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MC</w:t>
      </w:r>
      <w:r>
        <w:rPr>
          <w:rFonts w:ascii="Calibri" w:hAnsi="Calibri"/>
          <w:b/>
          <w:color w:val="1A2010"/>
          <w:sz w:val="40"/>
        </w:rPr>
        <w:t xml:space="preserve">  Moelis &amp; Company</w:t>
      </w:r>
    </w:p>
    <w:p>
      <w:pPr>
        <w:spacing w:after="120"/>
      </w:pPr>
      <w:r>
        <w:rPr>
          <w:rFonts w:ascii="Calibri" w:hAnsi="Calibri"/>
          <w:b/>
          <w:color w:val="6E8450"/>
          <w:sz w:val="18"/>
        </w:rPr>
        <w:t>DIVIDEND SLEEVE · 2026-05-01 · Inspire: 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Moelis &amp; Company is a leading global independent investment banking advisory firm providing strategic advisory, M&amp;A, restructuring, capital markets, and private capital advisory services to corporations, governments, financial sponsors, and sovereign wealth funds across the Americas, Europe, Middle East, Asia, and Australia.</w:t>
      </w:r>
    </w:p>
    <w:p>
      <w:r>
        <w:rPr>
          <w:rFonts w:ascii="Calibri" w:hAnsi="Calibri"/>
          <w:b/>
          <w:color w:val="6E8450"/>
          <w:sz w:val="18"/>
        </w:rPr>
        <w:t>1,416 Employees · https://www.moelis.com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Moelis has incrementally expanded its advisory capabilities into private capital advisory and capital structure advisory over the past five years, but these represent extensions of existing investment banking services rather than transformative pivots [1]. AI Deployment (1/2): The firm established a Banker Innovation Committee co-chaired by Peter Arnaboldi to implement AI across the firm, demonstrating early-stage AI adoption for deal sourcing, financial modeling, and pitch preparation — a measurable step toward operational efficiency [3]. Market Share Leadership (2/2): Moelis posted record Q1 2026 revenue of $319.8M, and its 31.8% 2-year annualized revenue growth significantly exceeds the independent advisory peer group, establishing it as one of the fastest-growing elite boutique investment banks globally [1]. Product Pipeline (0/2): No next-generation service lines or platform innovations announced with specific timelines; growth is organic through banker hiring and geographic expansion. R&amp;D Intensity (1/1): Investment in the Banker Innovation Committee and AI implementation represents above-average technology spending for an advisory-only investment bank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Moelis describes its culture as 'defined by entrepreneurial thinking, deep client relationships, and a culture focused on our people' — a clear articulation of values that connects the firm's work to client outcomes, though not deeply distinctive among investment banking peers [3]. Community &amp; Charitable Impact (1/2): Moelis's CSR program focuses on supporting local communities with emphasis on education, but no specific dollar amounts or distinctive programs were identified beyond standard corporate philanthropy [4]. Employee Retention (2/2): Glassdoor rating of 3.9/5 with 65% recommending the firm and a 4.3/5 career opportunities score suggests above-average retention and employee satisfaction for investment banking — a notoriously demanding industry [3]. Insider Buying (1/2): Founder Ken Moelis retains significant equity ownership and transitioned to Executive Chairman (effective October 2025) while maintaining economic alignment, though no evidence of recent discretionary insider purchases beyond existing holdings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Moelis delivers a fortress-like financial profile for an advisory firm: D/E of only 39% with $509M cash against $267M debt (effectively net cash), ROE of 44.8%, and record Q1 2026 revenue of $319.8M with adjusted pre-tax margin expanding to 15% from 14% [1][2]. Revenue grew at a 15.5% 3-year CAGR from $985M (2022) to $1.52B (2025), and forward P/E of 16.2x is reasonable for a high-quality advisory franchise [1]. The primary weakness is the 88% payout ratio, which includes both regular ($0.60/quarter) and special dividends, creating variability in total shareholder returns [2]. Twelve consecutive years of dividend payments since the 2014 IPO provide income reliability, though dividend growth has been inconsistent due to the special dividend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Moelis demonstrates strong infinite game characteristics through founder Ken Moelis's deliberate CEO-to-Chairman succession plan, a culture explicitly built around entrepreneurial longevity, and a 19-year track record of organic growth without acquisitive empire-building. The firm's fortress balance sheet ($509M cash, 39% D/E) reflects a conservative financial philosophy designed for multi-cycle durability rather than leveraged growth.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Moelis's founding vision — building an independent advisory firm that provides conflict-free advice through deep client relationships and entrepreneurial culture — is genuine and has guided consistent strategic decisions since 2007, including the deliberate choice to remain advisory-only (no trading, no proprietary capital) when competitors expanded into riskier businesses [3]. The planned succession from Ken Moelis to co-founder Navid Mahmoodzadegan signals institutional commitment beyond any single leader. However, 'providing great advisory' is inherently a service-oriented purpose rather than a transformative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3.9/5 rating with a 4.3/5 career opportunities score suggests a culture where employees feel invested in and see long-term potential [3]. The firm's 'entrepreneurial' cultural emphasis and flat organizational structure for an investment bank create an environment where individual initiative is valued. However, the 2.5/5 work-life balance score is concerning, and investment banking cultures inherently involve high-pressure, competitive dynamics that can undermine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Moelis operates alongside elite boutique peers including Evercore, Lazard, and PJT Partners, and management's language focuses on building capabilities and deepening client relationships rather than defeating competitors [1]. The firm's competitive strategy is centered on attracting top advisory talent and expanding geographic reach — a self-improvement framework rather than a war-winning mentality. Ken Moelis has publicly acknowledged the quality of competing advisory firms while emphasizing Moelis's distinctive culture.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Moelis has evolved its business mix from primarily M&amp;A advisory toward a more diversified platform including restructuring, capital structure advisory, and private capital advisory — the Q1 2026 business mix of 2/3 M&amp;A and 1/3 non-M&amp;A reflects this strategic broadening [1]. The formation of the Banker Innovation Committee to integrate AI represents forward-looking adaptation. However, these are incremental extensions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Ken Moelis demonstrated a pattern of courageous long-term bets: founding an independent advisory firm during the 2007 financial crisis when established banks were collapsing, maintaining the advisory-only model when peers pursued higher-margin but riskier businesses, and now executing a deliberate founder-to-successor CEO transition rather than clinging to the top role [3]. The firm's zero-debt fortress balance sheet with $509M cash represents a deliberate sacrifice of leveraged returns for multi-cycle durability — a costly choice that prioritizes long-term institutional endurance over short-term earnings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Moelis &amp; Company is an elite independent advisory firm delivering record revenue ($319.8M in Q1 2026, up 4.3% YoY) with a fortress balance sheet ($509M cash, zero net debt) and 44.8% ROE that generates substantial shareholder returns through a 3.9% dividend yield and share repurchases [1][2]. The planned CEO succession from founder Ken Moelis to co-founder Navid Mahmoodzadegan de-risks the leadership transition, while the firm's 8% 5-year revenue CAGR (accelerating to 31.8% over 2 years) reflects structural market share gains in the advisory fee pool as independent firms take share from conflicted bulge-bracket banks. At 16.2x forward P/E with $4.03 consensus EPS, the valuation is reasonable for a capital-light, high-ROE franchise.</w:t>
      </w:r>
    </w:p>
    <w:p>
      <w:pPr>
        <w:spacing w:after="120"/>
      </w:pPr>
      <w:r>
        <w:rPr>
          <w:rFonts w:ascii="Calibri" w:hAnsi="Calibri"/>
          <w:b w:val="0"/>
          <w:color w:val="3A4A28"/>
          <w:sz w:val="20"/>
        </w:rPr>
        <w:t>The bear case centers on cyclical sensitivity and AI disruption risk: investment banking advisory revenues are inherently tied to M&amp;A transaction volumes, which declined sharply in 2022-2023 (revenue fell from $985M to $855M) and could contract again in a recession or geopolitical disruption [1][2]. The 88% payout ratio leaves limited retained earnings for organic growth, and the stock's 1.86 beta amplifies market-driven volatility. AI poses a genuine medium-term threat to the junior banker workforce that generates the analytical foundation for advisory work — while senior relationships remain protected, operating margins could face compression as clients demand lower fees enabled by AI-driven productivity at competing firms. Moelis's Q1 2026 EPS of $0.50 missed consensus by 5.1%, and the stock has declined 17% from its 52-week high of $78.22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M&amp;A cycle recovery driven by lower interest rates and pent-up private equity transaction demand could accelerate revenue growth beyond the current 4.3% quarterly pace toward the 31.8% 2-year trend</w:t>
      </w:r>
    </w:p>
    <w:p>
      <w:pPr>
        <w:spacing w:before="40" w:after="40"/>
        <w:ind w:left="283"/>
      </w:pPr>
      <w:r>
        <w:rPr>
          <w:rFonts w:ascii="Calibri" w:hAnsi="Calibri"/>
          <w:b/>
          <w:color w:val="4A6B25"/>
          <w:sz w:val="20"/>
        </w:rPr>
        <w:t xml:space="preserve">2. </w:t>
      </w:r>
      <w:r>
        <w:rPr>
          <w:rFonts w:ascii="Calibri" w:hAnsi="Calibri"/>
          <w:b w:val="0"/>
          <w:color w:val="3A4A28"/>
          <w:sz w:val="20"/>
        </w:rPr>
        <w:t>Successful CEO transition to Navid Mahmoodzadegan would validate institutional durability beyond the founder and potentially attract new client relationships</w:t>
      </w:r>
    </w:p>
    <w:p>
      <w:pPr>
        <w:spacing w:before="40" w:after="40"/>
        <w:ind w:left="283"/>
      </w:pPr>
      <w:r>
        <w:rPr>
          <w:rFonts w:ascii="Calibri" w:hAnsi="Calibri"/>
          <w:b/>
          <w:color w:val="4A6B25"/>
          <w:sz w:val="20"/>
        </w:rPr>
        <w:t xml:space="preserve">3. </w:t>
      </w:r>
      <w:r>
        <w:rPr>
          <w:rFonts w:ascii="Calibri" w:hAnsi="Calibri"/>
          <w:b w:val="0"/>
          <w:color w:val="3A4A28"/>
          <w:sz w:val="20"/>
        </w:rPr>
        <w:t>AI integration through the Banker Innovation Committee could drive operating margin expansion by automating junior analytical work while maintaining premium advisory fees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M&amp;A cycle downturn driven by geopolitical uncertainty, tariffs, or recession would compress advisory revenues — revenues declined 35% from peak-to-trough in the 2022-2023 cycle</w:t>
      </w:r>
    </w:p>
    <w:p>
      <w:pPr>
        <w:spacing w:before="40" w:after="40"/>
        <w:ind w:left="283"/>
      </w:pPr>
      <w:r>
        <w:rPr>
          <w:rFonts w:ascii="Calibri" w:hAnsi="Calibri"/>
          <w:b/>
          <w:color w:val="4A6B25"/>
          <w:sz w:val="20"/>
        </w:rPr>
        <w:t xml:space="preserve">2. </w:t>
      </w:r>
      <w:r>
        <w:rPr>
          <w:rFonts w:ascii="Calibri" w:hAnsi="Calibri"/>
          <w:b w:val="0"/>
          <w:color w:val="3A4A28"/>
          <w:sz w:val="20"/>
        </w:rPr>
        <w:t>AI disruption of investment banking analytical workflows could compress advisory fees over the medium term as clients demand lower costs and competing firms leverage AI to deliver equivalent analysis with fewer bankers</w:t>
      </w:r>
    </w:p>
    <w:p>
      <w:pPr>
        <w:spacing w:before="40" w:after="40"/>
        <w:ind w:left="283"/>
      </w:pPr>
      <w:r>
        <w:rPr>
          <w:rFonts w:ascii="Calibri" w:hAnsi="Calibri"/>
          <w:b/>
          <w:color w:val="4A6B25"/>
          <w:sz w:val="20"/>
        </w:rPr>
        <w:t xml:space="preserve">3. </w:t>
      </w:r>
      <w:r>
        <w:rPr>
          <w:rFonts w:ascii="Calibri" w:hAnsi="Calibri"/>
          <w:b w:val="0"/>
          <w:color w:val="3A4A28"/>
          <w:sz w:val="20"/>
        </w:rPr>
        <w:t>Founder transition risk — Ken Moelis's personal relationships and brand recognition are significant competitive assets; the shift to Executive Chairman could result in client attrition during the transition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Investment banking advisory is meaningfully exposed to AI disruption — AI tools can already generate financial models, company profiles, industry analyses, and preliminary valuation work that junior bankers traditionally perform, and large language models are increasingly capable of drafting pitch materials and due diligence summaries [1]. While senior-level relationship management, strategic judgment, and deal negotiation remain deeply human skills that AI cannot replicate, Moelis's own executives cautioned that 'AI-driven sector dislocation' is creating headwinds in parts of the transaction environment [1]. The firm's Banker Innovation Committee signals awareness of AI both as tool and threat. AI Opportunity (0/1): While Moelis is deploying AI internally for banker productivity, it does not generate revenue from AI products — the firm advises on deals, not technology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Moelis &amp; Company Q1 CY2026 Earnings Release and Call Transcript,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MC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Moelis &amp; Company employee reviews and culture ratings,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Moelis &amp; Company Corporate Social Responsibility page,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