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MDCX</w:t>
      </w:r>
      <w:r>
        <w:rPr>
          <w:rFonts w:ascii="Calibri" w:hAnsi="Calibri"/>
          <w:b/>
          <w:color w:val="1A2010"/>
          <w:sz w:val="40"/>
        </w:rPr>
        <w:t xml:space="preserve">  Medicus Pharma Ltd.</w:t>
      </w:r>
    </w:p>
    <w:p>
      <w:pPr>
        <w:spacing w:after="120"/>
      </w:pPr>
      <w:r>
        <w:rPr>
          <w:rFonts w:ascii="Calibri" w:hAnsi="Calibri"/>
          <w:b/>
          <w:color w:val="6E8450"/>
          <w:sz w:val="18"/>
        </w:rPr>
        <w:t>GROWTH SLEEVE · 2026-04-07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NASDAQ · United States</w:t>
      </w:r>
    </w:p>
    <w:p>
      <w:pPr>
        <w:spacing w:after="80"/>
      </w:pPr>
      <w:r>
        <w:rPr>
          <w:rFonts w:ascii="Calibri" w:hAnsi="Calibri"/>
          <w:b w:val="0"/>
          <w:color w:val="3A4A28"/>
          <w:sz w:val="20"/>
        </w:rPr>
        <w:t>Medicus Pharma Ltd. is a pre-revenue biotech focused on developing SKNJCT-003, a Phase 2 injectable therapy for basal cell carcinoma of the skin. The company has a strategic collaboration with the Gorlin Syndrome Alliance and is pursuing AI-driven clinical development through a partnership with Reliant AI Inc.</w:t>
      </w:r>
    </w:p>
    <w:p>
      <w:r>
        <w:rPr>
          <w:rFonts w:ascii="Calibri" w:hAnsi="Calibri"/>
          <w:b/>
          <w:color w:val="6E8450"/>
          <w:sz w:val="18"/>
        </w:rPr>
        <w:t>16 Employees · https://medicuspharma.com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Medicus completed its Phase 2 SkinJect study for basal cell carcinoma in 2025 and acquired Antev to expand into men's health, representing modest pipeline extension but no revenue-generating launches [1][2]. AI Deployment (1/2): Signed a non-binding LOI with Reliant AI Inc. in December 2025 to develop an AI-driven clinical data analytics platform, though this is exploratory with no measurable results yet [2]. Market Share (0/2): Pre-revenue biotech with a single Phase 2 asset; no market share in any commercial category. Pipeline (1/2): SKNJCT-003 in Phase 2 for BCC with Gorlin Syndrome expansion planned, plus Antev men's health pipeline, but timelines for pivotal trials and commercialization remain vague [2]. R&amp;D Intensity (0/1): With only 16 employees and $0 revenue, R&amp;D spending cannot be meaningfully benchmarked against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Medicus articulates a focus on developing novel therapeutic approaches for skin cancer and rare diseases, which is clear but not distinctive in the biotech space [2]. Community Impact (1/2): Partnership with the Gorlin Syndrome Alliance demonstrates engagement with a rare disease community, a meaningful niche contribution [2]. Employee Retention (0/2): With only 16 employees, retention data is not publicly available and cannot be assessed. Insider Buying (0/2): CEO Dr. Raza Bokhari and leadership reportedly committed nearly $14 million of personal capital at $4 per share, but the stock trades at $0.49 — a 88% loss on those shares — and no recent net insider buying data is available to confirm continued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Medicus Pharma is a pre-revenue biotech with catastrophic financial metrics. D/E of 14,679% reflects an equity-destroying capital structure with $19.3M market cap [3]. ROE of -29.8% confirms persistent losses with TTM net income of -$11.2M and EPS of -$2.74 [1]. Zero revenue across all reported years (2022-2025) means revenue growth and profit margin are both zero [3]. Forward P/E of -1.2x reflects ongoing expected losses with consensus EPS of -$1.14 for 2026 [1]. Liquidity floor passes narrowly: 3.99M avg volume x $0.49 = $1.95M daily turnover [3]. Infrastructure score is 0 based on all available metrics scoring at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Medicus Pharma operates with a finite mindset typical of pre-revenue biotechs — the company's survival depends on clinical trial outcomes and capital raises rather than enduring competitive advantages. The Antev acquisition and AI partnership show strategic ambition, but the $19M market cap and 16-employee team leave little room for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Medicus aims to develop novel cancer therapies for underserved patient populations including Gorlin Syndrome patients, which represents a genuine medical need [2]. However, this cause has not been tested through crises or multi-decade consistency — the company rebranded from Interactive Capital Partners just in 2023, suggesting the biotech identity is recent and unproven (1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16 employees and frequent leadership changes including board additions through the Antev acquisition, there is insufficient evidence of a high-trust organizational culture [2]. The micro-cap nature of the company means team dynamics are largely opaque to outside evaluation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Medicus positions its SkinJect technology as novel in the BCC treatment space but does not publicly acknowledge or learn from larger competitors in dermatologic oncology. The competitive language focuses on differentiation rather than improvement through rivalry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shown some strategic flexibility by pivoting from Interactive Capital Partners to Medicus Pharma in 2023, acquiring Antev for men's health pipeline expansion, and pursuing AI-driven clinical development capabilities [2]. These are incremental adaptations rather than transformative reinventions, but they demonstrate willingness to evolve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Bokhari's reported commitment of $14M personal capital at $4/share demonstrates personal financial conviction, even as the stock has declined 88% from that level [2]. The decision to expand into rare disease and AI-driven development while burning cash shows willingness to invest for the long term, though this could also reflect necessity rather than strategic courage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Medicus Pharma is a speculative pre-revenue biotech with a Phase 2 skin cancer asset (SKNJCT-003) and an AI-driven clinical development strategy. The completion of the Phase 2 BCC study and Gorlin Syndrome Alliance collaboration provide modest clinical validation, while the Antev acquisition expands optionality into men's health [2]. CEO Bokhari's $14M personal investment and the company's AI partnership with Reliant AI signal leadership conviction [2]. The $19.3M market cap provides enormous upside leverage if any asset reaches commercialization.</w:t>
      </w:r>
    </w:p>
    <w:p>
      <w:pPr>
        <w:spacing w:after="120"/>
      </w:pPr>
      <w:r>
        <w:rPr>
          <w:rFonts w:ascii="Calibri" w:hAnsi="Calibri"/>
          <w:b w:val="0"/>
          <w:color w:val="3A4A28"/>
          <w:sz w:val="20"/>
        </w:rPr>
        <w:t>The bear case is severe: zero revenue across all reported years, TTM net loss of -$11.2M, D/E of 14,679%, and EPS of -$2.74 against a $0.49 stock price [1][3]. The company missed Q4 2025 consensus EPS by $0.50, reporting -$0.82 vs. -$0.32 expected [1]. With only 16 employees and a single Phase 2 asset, Medicus faces existential dilution risk from future capital raises. The 94% decline from 52-week high of $8.94 to $0.49 reflects the market's severe skepticism [3]. Analyst price target of $23.50 from a single coverage analyst (Brookline Capital) appears disconnected from fundamentals. This is a binary outcome stock unsuitable for the IOWN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SKNJCT-003 data readout for basal cell carcinoma could validate the SkinJect platform and attract a licensing partner [2]</w:t>
      </w:r>
    </w:p>
    <w:p>
      <w:pPr>
        <w:spacing w:before="40" w:after="40"/>
        <w:ind w:left="283"/>
      </w:pPr>
      <w:r>
        <w:rPr>
          <w:rFonts w:ascii="Calibri" w:hAnsi="Calibri"/>
          <w:b/>
          <w:color w:val="4A6B25"/>
          <w:sz w:val="20"/>
        </w:rPr>
        <w:t xml:space="preserve">2. </w:t>
      </w:r>
      <w:r>
        <w:rPr>
          <w:rFonts w:ascii="Calibri" w:hAnsi="Calibri"/>
          <w:b w:val="0"/>
          <w:color w:val="3A4A28"/>
          <w:sz w:val="20"/>
        </w:rPr>
        <w:t>Reliant AI clinical analytics platform development could reduce trial costs and timelines, improving capital efficiency [2]</w:t>
      </w:r>
    </w:p>
    <w:p>
      <w:pPr>
        <w:spacing w:before="40" w:after="40"/>
        <w:ind w:left="283"/>
      </w:pPr>
      <w:r>
        <w:rPr>
          <w:rFonts w:ascii="Calibri" w:hAnsi="Calibri"/>
          <w:b/>
          <w:color w:val="4A6B25"/>
          <w:sz w:val="20"/>
        </w:rPr>
        <w:t xml:space="preserve">3. </w:t>
      </w:r>
      <w:r>
        <w:rPr>
          <w:rFonts w:ascii="Calibri" w:hAnsi="Calibri"/>
          <w:b w:val="0"/>
          <w:color w:val="3A4A28"/>
          <w:sz w:val="20"/>
        </w:rPr>
        <w:t>Antev men's health pipeline expansion may provide additional shots on goal beyond the single BCC asset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with -$11.2M annual losses requires continued dilutive capital raises that could wipe out existing shareholders at the $19M market cap level [1][3]</w:t>
      </w:r>
    </w:p>
    <w:p>
      <w:pPr>
        <w:spacing w:before="40" w:after="40"/>
        <w:ind w:left="283"/>
      </w:pPr>
      <w:r>
        <w:rPr>
          <w:rFonts w:ascii="Calibri" w:hAnsi="Calibri"/>
          <w:b/>
          <w:color w:val="4A6B25"/>
          <w:sz w:val="20"/>
        </w:rPr>
        <w:t xml:space="preserve">2. </w:t>
      </w:r>
      <w:r>
        <w:rPr>
          <w:rFonts w:ascii="Calibri" w:hAnsi="Calibri"/>
          <w:b w:val="0"/>
          <w:color w:val="3A4A28"/>
          <w:sz w:val="20"/>
        </w:rPr>
        <w:t>Single-asset Phase 2 biotech with binary clinical risk — trial failure would likely result in near-total equity loss [2]</w:t>
      </w:r>
    </w:p>
    <w:p>
      <w:pPr>
        <w:spacing w:before="40" w:after="40"/>
        <w:ind w:left="283"/>
      </w:pPr>
      <w:r>
        <w:rPr>
          <w:rFonts w:ascii="Calibri" w:hAnsi="Calibri"/>
          <w:b/>
          <w:color w:val="4A6B25"/>
          <w:sz w:val="20"/>
        </w:rPr>
        <w:t xml:space="preserve">3. </w:t>
      </w:r>
      <w:r>
        <w:rPr>
          <w:rFonts w:ascii="Calibri" w:hAnsi="Calibri"/>
          <w:b w:val="0"/>
          <w:color w:val="3A4A28"/>
          <w:sz w:val="20"/>
        </w:rPr>
        <w:t>Stock declined 94% from 52-week high with only one covering analyst, signaling extreme illiquidity risk and limited institutional interest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Medicus operates in drug development, which requires physical clinical trials, FDA approval processes, and complex biological systems that AI cannot replace. However, the company's core competency — early-stage drug development — is increasingly augmented by AI-driven drug discovery platforms from larger competitors (Recursion, Insilico Medicine), which could compress the value of small-biotech clinical programs [2]. The Phase 2 BCC asset has modest competitive moats. AI Opportunity (1/1): Medicus is actively pursuing AI integration through its Reliant AI partnership for clinical data analytics, and CEO Bokhari has publicly highlighted AI-driven drug development as a strategic priority on Bloomberg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Brookline Capital Markets — Medicus Pharma FY2026 earnings forecast; Q4 2025 EPS miss of -$0.82 vs -$0.32 consensus, April 2026</w:t>
      </w:r>
    </w:p>
    <w:p>
      <w:pPr>
        <w:spacing w:before="20" w:after="20"/>
        <w:ind w:left="170"/>
      </w:pPr>
      <w:r>
        <w:rPr>
          <w:rFonts w:ascii="Calibri" w:hAnsi="Calibri"/>
          <w:b/>
          <w:color w:val="4A6B25"/>
          <w:sz w:val="15"/>
        </w:rPr>
        <w:t xml:space="preserve">2. </w:t>
      </w:r>
      <w:r>
        <w:rPr>
          <w:rFonts w:ascii="Calibri" w:hAnsi="Calibri"/>
          <w:b w:val="0"/>
          <w:color w:val="3A4A28"/>
          <w:sz w:val="17"/>
        </w:rPr>
        <w:t>Proactive Investors — Medicus Pharma CEO discusses Phase 2 results, Antev acquisition, AI-driven development strategy with Reliant AI,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MDCX (Medicus Pharma),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