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MDLZ</w:t>
      </w:r>
      <w:r>
        <w:rPr>
          <w:rFonts w:ascii="Calibri" w:hAnsi="Calibri"/>
          <w:b/>
          <w:color w:val="1A2010"/>
          <w:sz w:val="40"/>
        </w:rPr>
        <w:t xml:space="preserve">  Mondelez International, Inc.</w:t>
      </w:r>
    </w:p>
    <w:p>
      <w:pPr>
        <w:spacing w:after="120"/>
      </w:pPr>
      <w:r>
        <w:rPr>
          <w:rFonts w:ascii="Calibri" w:hAnsi="Calibri"/>
          <w:b/>
          <w:color w:val="6E8450"/>
          <w:sz w:val="18"/>
        </w:rPr>
        <w:t>DIVIDEND SLEEVE · 2026-03-27 · Inspire: 47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Confectioners · NASDAQ · United States</w:t>
      </w:r>
    </w:p>
    <w:p>
      <w:pPr>
        <w:spacing w:after="80"/>
      </w:pPr>
      <w:r>
        <w:rPr>
          <w:rFonts w:ascii="Calibri" w:hAnsi="Calibri"/>
          <w:b w:val="0"/>
          <w:color w:val="3A4A28"/>
          <w:sz w:val="20"/>
        </w:rPr>
        <w:t>Mondelez International is a global snacking leader owning iconic brands including Oreo, Cadbury, Toblerone, Milka, Ritz, and Trident. The company operates across approximately 150 countries with approximately 80% of revenue from international markets. Spun off from Kraft Foods in 2012 and headquartered in Chicago, Illinois.</w:t>
      </w:r>
    </w:p>
    <w:p>
      <w:r>
        <w:rPr>
          <w:rFonts w:ascii="Calibri" w:hAnsi="Calibri"/>
          <w:b/>
          <w:color w:val="6E8450"/>
          <w:sz w:val="18"/>
        </w:rPr>
        <w:t>91,000 Employees · https://www.mondelezinternational.com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Mondelez invests in product innovation through flavor extensions, healthier snacking options, and digital commerce capabilities, but operates in a mature confectionery market with inherently limited scope for transformative innovation. The company's 'Snacking Made Right' platform integrates sustainability with product development, and its Cocoa Life program represents agricultural innovation. However, the primary growth driver has been pricing power from commodity cost pass-through (particularly cocoa) rather than genuine product innovation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Mondelez's mission to 'empower people to snack right' provides modest inspirational value, and the company's iconic brand portfolio (Oreo, Cadbury) generates genuine consumer love. However, the company faces severe ESG headwinds: a class-action lawsuit alleging child labor and deforestation in cocoa supply chains, RAN's 'F' grade on deforestation (last among 10 consumer goods companies), and shareholder resolutions demanding child labor elimination [3]. The gap between stated sustainability commitments and actual performance undermines inspirational credibility.</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Mondelez delivers solid financial metrics for a consumer staples company: revenue grew 9.3% YoY to $38.5B with a 7.0% 3-year CAGR, the forward P/E of 17.0x is reasonable, and the dividend has grown at a 9.3% CAGR over five years [2]. The D/E of 84.8% is slightly above target but manageable for a stable cash flow business. The primary weakness is the thin 6.4% profit margin (compressed by soaring cocoa prices) and 102.7% payout ratio, which means the current dividend exceeds earnings — unsustainable without margin recovery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Mondelez demonstrates mixed infinite-game qualities: century-old brands like Cadbury (1824) and Oreo (1912) reflect genuinely long-term thinking, but the company's persistent failure to address child labor in its cocoa supply chain — despite a decade of ESG commitments and $1B in Cocoa Life investment — reveals a pattern of incremental action that falls short of the urgency required. The company plays to sustain its market position rather than to lead on the systemic issues that define its industry.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Mondelez's 'Snacking Made Right' platform is undermined by class-action lawsuits alleging child labor, RAN's 'F' deforestation grade, and greenwashing allegations that sustainability claims on packaging are misleading [3]. A company profiting from supply chains linked to child labor cannot credibly claim a just cause, regardless of incremental improvements in monitoring coverage.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Mondelez's 91,000-person global workforce benefits from established consumer goods career paths and brand prestige. However, the disconnect between corporate sustainability messaging and supply chain reality creates internal tension, particularly for ESG and sustainability teams whose efforts are contradicted by external investigations and lawsuits [3].</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Mondelez actively studies Nestlé, Mars, Hershey, and private label competitors, and its snacking-focused strategy (post-Kraft split) represents a strategic response to competitive positioning. The company's global diversification (80% international revenue) provides competitive advantages that domestic-focused rivals cannot match.</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2012 split from Kraft Foods demonstrated significant existential flexibility, creating a focused snacking company from a diversified food conglomerate. The company's ongoing portfolio optimization (divesting underperforming brands, acquiring premium snacking companies) shows continued strategic agility.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Mondelez has invested $1B in Cocoa Life over a decade but still achieves only 91% coverage and has not eliminated child labor — a pace critics call 'highly problematic' [3]. The company's response to the 74% shareholder vote for child labor elimination has been incremental rather than transformative. The 'F' deforestation grade and zero points for human rights defender protection suggest a lack of courage on the industry's most consequential issues.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Mondelez offers a compelling 3.5% dividend yield at a reasonable forward P/E of 17.0x, backed by a world-class portfolio of snacking brands (Oreo, Cadbury, Milka, Toblerone) generating $38.5B in revenue across 150 countries [2]. The dividend has grown at a 9.3% CAGR over five years, and the company's 80% international revenue base provides emerging market growth exposure and currency diversification. Revenue grew 9.3% YoY, driven by pricing power and volume recovery, and the forward earnings normalization (17x forward vs. 30x trailing) suggests cocoa cost pressures are expected to ease.</w:t>
      </w:r>
    </w:p>
    <w:p>
      <w:pPr>
        <w:spacing w:after="120"/>
      </w:pPr>
      <w:r>
        <w:rPr>
          <w:rFonts w:ascii="Calibri" w:hAnsi="Calibri"/>
          <w:b w:val="0"/>
          <w:color w:val="3A4A28"/>
          <w:sz w:val="20"/>
        </w:rPr>
        <w:t>The bear case is significant: cocoa prices have surged to record levels, compressing MDLZ's profit margin to just 6.4% and driving a 60.4% EPS decline, pushing the payout ratio above 100% — the current dividend is unsustainable without margin recovery [2]. The child labor and deforestation controversies (class-action lawsuits, RAN's 'F' grade, greenwashing allegations) create growing legal and reputational liability, particularly as EU deforestation regulations take effect [3]. The D/E of 84.8% limits financial flexibility for M&amp;A or dividend increases. If cocoa prices remain elevated through 2026, Mondelez may be forced to choose between maintaining the dividend and investing in the business — a lose-lose scenario for shareholders.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Cocoa price normalization from record levels, potentially restoring profit margins from 6.4% toward historical 12-15% range and eliminating the dividend sustainability concern</w:t>
      </w:r>
    </w:p>
    <w:p>
      <w:pPr>
        <w:spacing w:before="40" w:after="40"/>
        <w:ind w:left="283"/>
      </w:pPr>
      <w:r>
        <w:rPr>
          <w:rFonts w:ascii="Calibri" w:hAnsi="Calibri"/>
          <w:b/>
          <w:color w:val="4A6B25"/>
          <w:sz w:val="20"/>
        </w:rPr>
        <w:t xml:space="preserve">2. </w:t>
      </w:r>
      <w:r>
        <w:rPr>
          <w:rFonts w:ascii="Calibri" w:hAnsi="Calibri"/>
          <w:b w:val="0"/>
          <w:color w:val="3A4A28"/>
          <w:sz w:val="20"/>
        </w:rPr>
        <w:t>Emerging market volume growth accelerating as per-capita snacking consumption increases in India, Southeast Asia, and Latin America, leveraging the 80% international revenue base</w:t>
      </w:r>
    </w:p>
    <w:p>
      <w:pPr>
        <w:spacing w:before="40" w:after="40"/>
        <w:ind w:left="283"/>
      </w:pPr>
      <w:r>
        <w:rPr>
          <w:rFonts w:ascii="Calibri" w:hAnsi="Calibri"/>
          <w:b/>
          <w:color w:val="4A6B25"/>
          <w:sz w:val="20"/>
        </w:rPr>
        <w:t xml:space="preserve">3. </w:t>
      </w:r>
      <w:r>
        <w:rPr>
          <w:rFonts w:ascii="Calibri" w:hAnsi="Calibri"/>
          <w:b w:val="0"/>
          <w:color w:val="3A4A28"/>
          <w:sz w:val="20"/>
        </w:rPr>
        <w:t>Cocoa Life program reaching 100% coverage and demonstrable child labor reduction, removing ESG-related legal and reputational overhang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Sustained cocoa price elevation — if prices remain at record levels, the 102.7% payout ratio becomes unsustainable and a dividend cut may become necessary, removing the stock's primary income thesis [2]</w:t>
      </w:r>
    </w:p>
    <w:p>
      <w:pPr>
        <w:spacing w:before="40" w:after="40"/>
        <w:ind w:left="283"/>
      </w:pPr>
      <w:r>
        <w:rPr>
          <w:rFonts w:ascii="Calibri" w:hAnsi="Calibri"/>
          <w:b/>
          <w:color w:val="4A6B25"/>
          <w:sz w:val="20"/>
        </w:rPr>
        <w:t xml:space="preserve">2. </w:t>
      </w:r>
      <w:r>
        <w:rPr>
          <w:rFonts w:ascii="Calibri" w:hAnsi="Calibri"/>
          <w:b w:val="0"/>
          <w:color w:val="3A4A28"/>
          <w:sz w:val="20"/>
        </w:rPr>
        <w:t>ESG litigation escalation — class-action lawsuits alleging child labor and greenwashing could result in significant settlements and regulatory penalties, particularly under EU due diligence requirements [3]</w:t>
      </w:r>
    </w:p>
    <w:p>
      <w:pPr>
        <w:spacing w:before="40" w:after="40"/>
        <w:ind w:left="283"/>
      </w:pPr>
      <w:r>
        <w:rPr>
          <w:rFonts w:ascii="Calibri" w:hAnsi="Calibri"/>
          <w:b/>
          <w:color w:val="4A6B25"/>
          <w:sz w:val="20"/>
        </w:rPr>
        <w:t xml:space="preserve">3. </w:t>
      </w:r>
      <w:r>
        <w:rPr>
          <w:rFonts w:ascii="Calibri" w:hAnsi="Calibri"/>
          <w:b w:val="0"/>
          <w:color w:val="3A4A28"/>
          <w:sz w:val="20"/>
        </w:rPr>
        <w:t>Consumer trade-down to private label snacking as price-sensitive consumers resist premium pricing driven by commodity cost pass-through in an inflationary environment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serves as a moderate enabler for Mondelez's operations — the company deploys AI across supply chain optimization, demand forecasting, consumer insights analytics, and digital commerce personalization. The physical nature of confectionery manufacturing and distribution creates natural protection from AI-driven disruption, as consumers cannot digitize the experience of eating an Oreo. However, AI-driven competition in direct-to-consumer channels and personalized nutrition could erode brand loyalty over time. The cocoa supply chain's complexity offers opportunities for AI-driven traceability and child labor monitoring improvement.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Mondelez International Q4 2025 Earnings Release and 2026 Guidance</w:t>
      </w:r>
    </w:p>
    <w:p>
      <w:pPr>
        <w:spacing w:before="20" w:after="20"/>
        <w:ind w:left="170"/>
      </w:pPr>
      <w:r>
        <w:rPr>
          <w:rFonts w:ascii="Calibri" w:hAnsi="Calibri"/>
          <w:b/>
          <w:color w:val="4A6B25"/>
          <w:sz w:val="15"/>
        </w:rPr>
        <w:t xml:space="preserve">2. </w:t>
      </w:r>
      <w:r>
        <w:rPr>
          <w:rFonts w:ascii="Calibri" w:hAnsi="Calibri"/>
          <w:b w:val="0"/>
          <w:color w:val="3A4A28"/>
          <w:sz w:val="17"/>
        </w:rPr>
        <w:t>Yahoo Finance — MDLZ key statistics, accessed March 2026</w:t>
      </w:r>
    </w:p>
    <w:p>
      <w:pPr>
        <w:spacing w:before="20" w:after="20"/>
        <w:ind w:left="170"/>
      </w:pPr>
      <w:r>
        <w:rPr>
          <w:rFonts w:ascii="Calibri" w:hAnsi="Calibri"/>
          <w:b/>
          <w:color w:val="4A6B25"/>
          <w:sz w:val="15"/>
        </w:rPr>
        <w:t xml:space="preserve">3. </w:t>
      </w:r>
      <w:r>
        <w:rPr>
          <w:rFonts w:ascii="Calibri" w:hAnsi="Calibri"/>
          <w:b w:val="0"/>
          <w:color w:val="3A4A28"/>
          <w:sz w:val="17"/>
        </w:rPr>
        <w:t>RAN 2025 Keep Forests Standing Scorecard; Sustainalytics child labor cocoa supply chain report; Class-action lawsuit coverage from Business &amp; Human Rights Centre</w:t>
      </w:r>
    </w:p>
    <w:p>
      <w:pPr>
        <w:spacing w:before="20" w:after="20"/>
        <w:ind w:left="170"/>
      </w:pPr>
      <w:r>
        <w:rPr>
          <w:rFonts w:ascii="Calibri" w:hAnsi="Calibri"/>
          <w:b/>
          <w:color w:val="4A6B25"/>
          <w:sz w:val="15"/>
        </w:rPr>
        <w:t xml:space="preserve">4. </w:t>
      </w:r>
      <w:r>
        <w:rPr>
          <w:rFonts w:ascii="Calibri" w:hAnsi="Calibri"/>
          <w:b w:val="0"/>
          <w:color w:val="3A4A28"/>
          <w:sz w:val="17"/>
        </w:rPr>
        <w:t>Mondelez 'Snacking Made Right' Sustainability Report and Cocoa Life Program</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