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MDU</w:t>
      </w:r>
      <w:r>
        <w:rPr>
          <w:rFonts w:ascii="Calibri" w:hAnsi="Calibri"/>
          <w:b/>
          <w:color w:val="1A2010"/>
          <w:sz w:val="40"/>
        </w:rPr>
        <w:t xml:space="preserve">  MDU Resources Group, Inc.</w:t>
      </w:r>
    </w:p>
    <w:p>
      <w:pPr>
        <w:spacing w:after="120"/>
      </w:pPr>
      <w:r>
        <w:rPr>
          <w:rFonts w:ascii="Calibri" w:hAnsi="Calibri"/>
          <w:b/>
          <w:color w:val="6E8450"/>
          <w:sz w:val="18"/>
        </w:rPr>
        <w:t>DIVIDEND SLEEVE · 2026-04-17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Utilities - Regulated Gas · NYSE · United States</w:t>
      </w:r>
    </w:p>
    <w:p>
      <w:pPr>
        <w:spacing w:after="80"/>
      </w:pPr>
      <w:r>
        <w:rPr>
          <w:rFonts w:ascii="Calibri" w:hAnsi="Calibri"/>
          <w:b w:val="0"/>
          <w:color w:val="3A4A28"/>
          <w:sz w:val="20"/>
        </w:rPr>
        <w:t>MDU Resources Group is a regulated energy delivery company operating through three segments: Electric (generation, transmission, and distribution in MT, ND, SD, WY), Natural Gas Distribution (8 states), and Pipeline (natural gas transportation and storage). The company serves approximately 1.2 million customers across the northern Great Plains and Pacific Northwest.</w:t>
      </w:r>
    </w:p>
    <w:p>
      <w:r>
        <w:rPr>
          <w:rFonts w:ascii="Calibri" w:hAnsi="Calibri"/>
          <w:b/>
          <w:color w:val="6E8450"/>
          <w:sz w:val="18"/>
        </w:rPr>
        <w:t>2,096 Employees · https://www.mdu.com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MDU delivered 2025 net income of $190.4M with natural gas utility earnings up 19.6% to $56.1M and record pipeline segment earnings of $68.2M, driven by rate relief and expansion projects rather than product innovation [1]. The 16% rate base growth (including Badger Wind Farm) demonstrates infrastructure investment but is typical utility capex. AI Deployment (0/2): No evidence of AI-powered products or quantified AI-driven operational savings; MDU operates traditional regulated utility infrastructure. Market Share (1/2): MDU serves a captive regulated customer base across 8 states with 1-2% annual customer growth, holding a natural monopoly in its service territories [1]. Pipeline (1/2): $3.1B capital investment plan for 2026-2030 with $560M allocated to 2026 provides clear infrastructure visibility; 6-8% long-term EPS CAGR target gives forward trajectory [1]. R&amp;D Intensity (0/1): Minimal R&amp;D spending as a regulated utility — innovation is driven by capital deployment into infrastructure rather than research.</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MDU's CORE strategy (Customers and communities, Operational excellence, Returns focused, Employee driven) is clear and connected to stakeholders but reads as a corporate framework rather than an inspiring vision [2]. The 100-year anniversary sustainability report titled 'Doing the Right Thing' suggests genuine values, though the articulation is not distinctive from other utilities. Community Impact (2/2): MDU Resources Foundation provides meaningful community investment across its service territories; the company has been a community pillar in the northern Great Plains for 100+ years, with specific charitable programs, employee volunteer initiatives, and economic development support documented in sustainability reports [3]. Employee Retention (1/2): CEO Nicole Kivisto succeeded David Goodin (40-year career at MDU) in January 2024, demonstrating exceptional leadership continuity; 2,096 employees in a stable regulated utility environment suggest low voluntary turnover [2]. Insider Buying (0/2): No evidence of meaningful net insider buying found; pay-for-performance structure with 80% of CEO compensation at-risk but no notable open-market purchases identified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MDU's regulated utility profile delivers strong infrastructure metrics. D/E of 97.8% scores 0.88 (target ≤70%, typical utility leverage). ROE of 7.01% scores 0.47 (below target 15% but typical for regulated utilities). Revenue growth YoY of -0.3% scores 0.66. 3yr revenue CAGR of ~2.4% scores 0.49. Forward P/E of 20.7 scores 0.98 (near target ≤20). Profit margin of 10.15% scores 0.51. Dividend metrics are strong: payout ratio 58.1% scores 0.70, consecutive years paid 80+ scores 1.0 (2x weight), consecutive years growth ~5 scores 0.50, and 5yr dividend growth CAGR ~11% scores 1.0 (2x weight). Weighted dividend sum: (1×0.88 + 1×0.47 + 1×0.66 + 1×0.49 + 1×0.98 + 1×0.51 + 1×0.70 + 2×1.0 + 1×0.50 + 2×1.0) = 9.19 / 12 × 10 = 8 [1][4]. Liquidity floor cleared: 1.84M avg vol × $21.94 = $40.4M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MDU Resources demonstrates solid infinite-game characteristics rooted in its 100-year operating history and regulated utility model. The company's CORE strategy and multi-decade infrastructure investment horizon align with infinite game thinking. However, the regulated utility model inherently limits existential flexibility, and the company's purpose, while genuine, is functional rather than visionary.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MDU's purpose of reliably delivering energy to communities across the northern Great Plains has been consistently pursued for 100+ years through multiple economic cycles, leadership transitions, and industry transformations [2][3]. The CORE strategy connects daily operations to community service and employee welfare. The cause is genuine and validated by a century of execution, though it is not idealistic or transformative — 2 points for a genuine cause that is partially lived but not bold enough for full marks.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Goodin's 40-year career culminating in a smooth succession to Kivisto demonstrates exceptional organizational continuity and trust in internal talent development [2]. The 2,096-person workforce in a regulated utility typically enjoys high job stability and long tenure. MDU's '3+' designation from 50/50 Women on Boards suggests governance diversity — 1 point for adequate organizational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As a regulated utility with captive service territories, MDU operates in a natural monopoly where traditional competitive dynamics are muted [1]. The company does not frame its operations in competitive terms because it has no meaningful rivals in its regulated territories. This is neither finite nor infinite competitive thinking — it's simply the nature of regulated utilities — 0 points.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MDU has demonstrated significant strategic flexibility through its history of spin-offs: divesting the construction business (Knife River, 2023) and construction services (MDU Construction Services, 2023) to refocus on regulated energy delivery [1]. These were material, painful decisions that simplified the company and refocused on its core purpose. The Badger Wind Farm investment shows willingness to evolve the generation mix — 1 point for incremental but meaningful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decision to spin off profitable construction businesses (Knife River, MDU Construction Services) in 2023 to refocus on regulated utilities required leadership courage — walking away from diversified revenue for strategic clarity [1]. The $3.1B five-year capital investment plan demonstrates long-term commitment despite near-term earnings compression from higher depreciation and interest. 60-70% payout ratio target balances shareholder returns with infrastructure reinvestment — 1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MDU Resources is a stable regulated utility offering 2.5% dividend yield with 80+ consecutive years of dividend payments and a 6-8% long-term EPS CAGR target backed by $3.1B in planned capital investments (2026-2030) [1]. The 2023 spin-offs of construction businesses refocused the company on its regulated utility core, and the results are showing: natural gas utility earnings grew 19.6% in 2025 and pipeline earnings hit a record $68.2M [1]. Rate base growth of 16% YoY (including Badger Wind Farm) drives the regulated earnings flywheel. At 20.7x forward P/E with beta of 0.37, MDU offers defensive income with inflation-protected dividend growth (~11% 5yr CAGR). The 1-2% annual customer growth in the northern Great Plains, bolstered by Bakken energy activity and data center demand, provides organic volume upside [1].</w:t>
      </w:r>
    </w:p>
    <w:p>
      <w:pPr>
        <w:spacing w:after="120"/>
      </w:pPr>
      <w:r>
        <w:rPr>
          <w:rFonts w:ascii="Calibri" w:hAnsi="Calibri"/>
          <w:b w:val="0"/>
          <w:color w:val="3A4A28"/>
          <w:sz w:val="20"/>
        </w:rPr>
        <w:t>The bear case reflects the limitations of a small regulated utility. Revenue growth YoY of -0.3% and 3yr CAGR of 2.4% demonstrate the inherently slow-growth nature of regulated gas and electric distribution [1]. ROE of 7.01% is below the 10% utility average, suggesting suboptimal regulatory outcomes or capital structure inefficiency. Forward P/E of 20.7x is not cheap for a utility growing EPS at 6-8% — peers like ATO trade at similar multiples with better growth profiles. The 2026 EPS guidance of $0.93-$1.00 implies flat-to-modest growth from 2025's $0.93, disappointing for a utility in the midst of a rate base expansion cycle. Negative free cash flow (-$365M in 2025) reflects heavy capex, and D/E of 97.8% with $2.7B debt requires continuous capital market access. Geographic concentration in the northern Great Plains limits the addressable market, and warm winters directly impact natural gas distribution revenues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$3.1B capital investment plan (2026-2030) driving 6-8% rate base and EPS CAGR through regulated infrastructure expansion, including pipeline capacity additions and distribution upgrades [1]</w:t>
      </w:r>
    </w:p>
    <w:p>
      <w:pPr>
        <w:spacing w:before="40" w:after="40"/>
        <w:ind w:left="283"/>
      </w:pPr>
      <w:r>
        <w:rPr>
          <w:rFonts w:ascii="Calibri" w:hAnsi="Calibri"/>
          <w:b/>
          <w:color w:val="4A6B25"/>
          <w:sz w:val="20"/>
        </w:rPr>
        <w:t xml:space="preserve">2. </w:t>
      </w:r>
      <w:r>
        <w:rPr>
          <w:rFonts w:ascii="Calibri" w:hAnsi="Calibri"/>
          <w:b w:val="0"/>
          <w:color w:val="3A4A28"/>
          <w:sz w:val="20"/>
        </w:rPr>
        <w:t>AI data center demand — hyperscale computing facilities require massive electricity and gas consumption, potentially increasing load growth in MDU's service territories beyond the baseline 1-2% customer growth [1]</w:t>
      </w:r>
    </w:p>
    <w:p>
      <w:pPr>
        <w:spacing w:before="40" w:after="40"/>
        <w:ind w:left="283"/>
      </w:pPr>
      <w:r>
        <w:rPr>
          <w:rFonts w:ascii="Calibri" w:hAnsi="Calibri"/>
          <w:b/>
          <w:color w:val="4A6B25"/>
          <w:sz w:val="20"/>
        </w:rPr>
        <w:t xml:space="preserve">3. </w:t>
      </w:r>
      <w:r>
        <w:rPr>
          <w:rFonts w:ascii="Calibri" w:hAnsi="Calibri"/>
          <w:b w:val="0"/>
          <w:color w:val="3A4A28"/>
          <w:sz w:val="20"/>
        </w:rPr>
        <w:t>Dividend growth trajectory — 11% 5yr CAGR with 60-70% payout ratio target provides a growing income stream supported by 80+ years of uninterrupted payments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Regulatory risk — ROE of 7.01% suggests MDU may struggle to achieve favorable rate case outcomes; adverse regulatory decisions could compress allowed returns below the cost of capital [1]</w:t>
      </w:r>
    </w:p>
    <w:p>
      <w:pPr>
        <w:spacing w:before="40" w:after="40"/>
        <w:ind w:left="283"/>
      </w:pPr>
      <w:r>
        <w:rPr>
          <w:rFonts w:ascii="Calibri" w:hAnsi="Calibri"/>
          <w:b/>
          <w:color w:val="4A6B25"/>
          <w:sz w:val="20"/>
        </w:rPr>
        <w:t xml:space="preserve">2. </w:t>
      </w:r>
      <w:r>
        <w:rPr>
          <w:rFonts w:ascii="Calibri" w:hAnsi="Calibri"/>
          <w:b w:val="0"/>
          <w:color w:val="3A4A28"/>
          <w:sz w:val="20"/>
        </w:rPr>
        <w:t>Geographic concentration in the northern Great Plains exposes MDU to regional economic downturns, warm winter weather patterns reducing gas demand, and limited customer growth ceiling [4]</w:t>
      </w:r>
    </w:p>
    <w:p>
      <w:pPr>
        <w:spacing w:before="40" w:after="40"/>
        <w:ind w:left="283"/>
      </w:pPr>
      <w:r>
        <w:rPr>
          <w:rFonts w:ascii="Calibri" w:hAnsi="Calibri"/>
          <w:b/>
          <w:color w:val="4A6B25"/>
          <w:sz w:val="20"/>
        </w:rPr>
        <w:t xml:space="preserve">3. </w:t>
      </w:r>
      <w:r>
        <w:rPr>
          <w:rFonts w:ascii="Calibri" w:hAnsi="Calibri"/>
          <w:b w:val="0"/>
          <w:color w:val="3A4A28"/>
          <w:sz w:val="20"/>
        </w:rPr>
        <w:t>Negative free cash flow (-$365M in 2025) from heavy capex requires continuous debt and equity issuance, diluting existing shareholders and creating refinancing risk if capital markets tighten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MDU's core business — regulated natural gas and electric utility distribution and pipeline transportation — is structurally immune to AI disruption [1]. Physical gas and electric infrastructure cannot be replaced by software, and regulated utility operations require physical maintenance crews, pipeline inspections, and distribution network management that AI cannot substitute. AI data center proliferation is actually a net positive for utilities, as hyperscale computing facilities require massive electricity and gas consumption, potentially increasing demand in MDU's service territories. No analysts have flagged AI as a displacement risk for regulated utilities. AI Opportunity (0/1): MDU does not generate revenue from AI products; operational AI use is limited to potential grid optimization and predictive maintenance applications that are not yet monetized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MDU Resources 2025 Year-End Results and 2026 Guidance — $190.4M net income, pipeline record earnings, $560M 2026 capex plan, February 2026</w:t>
      </w:r>
    </w:p>
    <w:p>
      <w:pPr>
        <w:spacing w:before="20" w:after="20"/>
        <w:ind w:left="170"/>
      </w:pPr>
      <w:r>
        <w:rPr>
          <w:rFonts w:ascii="Calibri" w:hAnsi="Calibri"/>
          <w:b/>
          <w:color w:val="4A6B25"/>
          <w:sz w:val="15"/>
        </w:rPr>
        <w:t xml:space="preserve">2. </w:t>
      </w:r>
      <w:r>
        <w:rPr>
          <w:rFonts w:ascii="Calibri" w:hAnsi="Calibri"/>
          <w:b w:val="0"/>
          <w:color w:val="3A4A28"/>
          <w:sz w:val="17"/>
        </w:rPr>
        <w:t>CEO North America Magazine — Nicole Kivisto interview on CORE strategy, leadership culture, AI governance, 2025</w:t>
      </w:r>
    </w:p>
    <w:p>
      <w:pPr>
        <w:spacing w:before="20" w:after="20"/>
        <w:ind w:left="170"/>
      </w:pPr>
      <w:r>
        <w:rPr>
          <w:rFonts w:ascii="Calibri" w:hAnsi="Calibri"/>
          <w:b/>
          <w:color w:val="4A6B25"/>
          <w:sz w:val="15"/>
        </w:rPr>
        <w:t xml:space="preserve">3. </w:t>
      </w:r>
      <w:r>
        <w:rPr>
          <w:rFonts w:ascii="Calibri" w:hAnsi="Calibri"/>
          <w:b w:val="0"/>
          <w:color w:val="3A4A28"/>
          <w:sz w:val="17"/>
        </w:rPr>
        <w:t>MDU Resources 2023 Sustainability Report — '100 Years of Doing the Right Thing,' community investment, environmental commitments</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MDU (MDU Resources Group), retrieved April 17,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