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MDXG</w:t>
      </w:r>
      <w:r>
        <w:rPr>
          <w:rFonts w:ascii="Calibri" w:hAnsi="Calibri"/>
          <w:b/>
          <w:color w:val="1A2010"/>
          <w:sz w:val="40"/>
        </w:rPr>
        <w:t xml:space="preserve">  MiMedx Group, Inc.</w:t>
      </w:r>
    </w:p>
    <w:p>
      <w:pPr>
        <w:spacing w:after="120"/>
      </w:pPr>
      <w:r>
        <w:rPr>
          <w:rFonts w:ascii="Calibri" w:hAnsi="Calibri"/>
          <w:b/>
          <w:color w:val="6E8450"/>
          <w:sz w:val="18"/>
        </w:rPr>
        <w:t>GROWTH SLEEVE · 2026-05-04 · Inspire: 29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MiMedx Group develops and distributes placental tissue allografts for wound care and surgical applications. The company processes human placental tissue using its patented PURION process to produce allografts including EPIFIX, EPICORD, AMNIOFIX, and AXIOFILL. Products serve wound care, burn, and surgical markets including lower extremity repair, plastic surgery, and orthopedic reconstruction. Founded in 2006 and headquartered in Marietta, Georgia.</w:t>
      </w:r>
    </w:p>
    <w:p>
      <w:r>
        <w:rPr>
          <w:rFonts w:ascii="Calibri" w:hAnsi="Calibri"/>
          <w:b/>
          <w:color w:val="6E8450"/>
          <w:sz w:val="18"/>
        </w:rPr>
        <w:t>808 Employees · https://www.mimedx.com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MiMedx delivered record full-year 2025 revenue before Q1 2026 collapsed 33% YoY to $59M due to CMS Medicare reimbursement changes devastating the wound care segment (-60% YoY) [1]. The company has expanded from wound care into surgical applications (+13% in Q1 2026), but this is an adjacency extension rather than a transformative pivot [1]. AI Deployment (0/2): No evidence of AI-powered products or AI-driven operational improvements. Regenerative medicine product development relies on biological tissue processing, not AI. Market Share (1/2): MiMedx is a meaningful player in the placental tissue allograft market with products like EPIFIX having significant hospital formulary penetration, but the company is not a category leader against larger competitors like Organogenesis and Smith+Nephew [1]. Pipeline (1/2): The surgical business represents a growing pipeline with AMNIOFIX and AXIOFILL expanding into orthopedic and plastic surgery applications, though the FDA warning letter on AXIOFILL creates regulatory uncertainty [3]. R&amp;D Intensity (1/1): R&amp;D investment in the PURION process and new product development exceeds typical biotech peers at this revenue scale.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MiMedx's website articulates a purpose of 'helping people heal' through regenerative medicine — clear and healthcare-oriented but not distinctive among biotech peers [2]. Community Impact (0/2): No evidence of significant charitable programs or community investment beyond the core business of healing patients. The company's history of SEC fraud charges (former CEO Parker Petit convicted) and allegations of pressuring providers to use medically unnecessary products on veterans and diabetics undermines community impact claims [3]. Employee Retention (0/2): Glassdoor rating of 3.2/5.0 with employee complaints about high turnover, unclear expectations, and leadership issues — below average for the biotech industry [2]. Insider Buying (1/2): CEO Joe Capper joined in January 2023 with equity compensation; no evidence of significant net insider selling, but no notable insider purchasing either.</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calculated from available metrics. D/E of 7.2% is excellent (score 1.0), reflecting minimal debt against $142M cash [1][4]. ROE of 13.8% is near the 15% target (score 0.92). However, revenue growth YoY of -33.1% scores 0.0 — the CMS reimbursement change caused a catastrophic wound care decline [1]. Forward P/E of 30.0 scores 0.75, reflecting recovery expectations. Profit margin of 7.9% scores 0.39, weak for biotech. PEG of 2.88 near the 3.0 floor scores only 0.06, indicating the market prices minimal growth relative to earnings [4]. Liquidity floor passes: 1.3M avg volume × $3.68 = $4.8M daily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MiMedx's history of accounting fraud under former CEO Petit, ongoing litigation alleging predatory sales practices targeting veterans and diabetics, and the FDA AXIOFILL warning letter reveal a company that has repeatedly prioritized short-term revenue over sustainable practices. CEO Capper's turnaround effort since 2023 shows improvement, but the organizational culture scars remain — Glassdoor reviews cite high turnover and leadership dysfunction. The CMS reimbursement shock exposed over-dependence on a single payer rather than a diversified, long-term strategy.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MiMedx's purpose of 'helping people heal' through regenerative medicine is genuine healthcare mission, but the company's history of accounting fraud, alleged medically unnecessary product usage on veterans, and FDA compliance issues severely undermine the authenticity of this cause [3]. A just cause that was violated through fraudulent revenue recognition and predatory sales practices scores only for the articulation, not the execution.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rating of 3.2/5.0 with specific complaints about 'persistent issues with leadership, communication, and workplace culture,' 'high turnover, unclear expectations,' and 'dismissiveness toward employee input' [2]. The SEC fraud conviction of former CEO Petit and COO Taylor, plus ongoing lawsuits against former employees via non-compete enforcement, indicate a low-trust organizational history. CEO Capper's turnaround has not yet reversed these cultural patterns.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MiMedx's competitive posture has historically been aggressive — suing former employees who joined competitors and using non-compete litigation as an intimidation tool [3]. No evidence of management acknowledging competitor strengths or using rivalry for self-improvement. The competitive language is about protection and enforcement rather than learning.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strategic shift from wound care dependence toward surgical applications (+13% growth in Q1 2026 while wound care fell 60%) demonstrates incremental flexibility in response to the CMS reimbursement shock [1]. Guidance reduction to $260-290M from $340-360M shows the company is adapting expectations, though this is reactive rather than proactive strategic transformation.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investments over short-term earnings. The company's history includes fraudulent revenue inflation to meet targets, the opposite of courageous leadership [3]. Under CEO Capper, the response to the CMS reimbursement change has been to cut guidance and maintain cash position ($142M) rather than invest aggressively into surgical growth, which is prudent but not courageous.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MiMedx operates in the attractive regenerative medicine market with a proprietary PURION tissue processing platform and $142M cash providing substantial runway [1][4]. The surgical business grew 13% in Q1 2026 even as wound care collapsed, demonstrating product diversification potential. At a $548M market cap with $389M TTM revenue and a new CEO (Joe Capper) executing a turnaround from the prior fraud scandal, the stock trades at a depressed valuation (18.4x trailing P/E) that could re-rate if surgical growth accelerates and wound care stabilizes under new CMS reimbursement rules. The company's D/E of just 7.2% and strong free cash flow ($61M) provide financial flexibility to weather the transition period.</w:t>
      </w:r>
    </w:p>
    <w:p>
      <w:pPr>
        <w:spacing w:after="120"/>
      </w:pPr>
      <w:r>
        <w:rPr>
          <w:rFonts w:ascii="Calibri" w:hAnsi="Calibri"/>
          <w:b w:val="0"/>
          <w:color w:val="3A4A28"/>
          <w:sz w:val="20"/>
        </w:rPr>
        <w:t>The bear case centers on severe CMS reimbursement risk: wound care revenue collapsed 60% in Q1 2026 as new Medicare payment rules created industry-wide confusion, forcing guidance cuts from $340-360M to $260-290M with approximately breakeven EBITDA expected for 2026 [1]. This is not a one-quarter event — the new reimbursement framework structurally reduces what Medicare pays for advanced wound care products, threatening MiMedx's historically largest revenue segment. The company carries significant reputational baggage from former CEO Petit's fraud conviction and ongoing allegations of predatory sales practices targeting veterans and diabetics [3]. The FDA warning letter on AXIOFILL creates additional regulatory uncertainty. Glassdoor reviews (3.2/5.0) and employee complaints about leadership culture suggest the turnaround under Capper is incomplete [2]. Forward P/E of 30x on reduced guidance suggests the market still expects recovery that may not materialize.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Surgical business expansion — 13% Q1 2026 growth in surgical applications (AMNIOFIX, AXIOFILL) could partially offset wound care decline and diversify revenue mix [1]</w:t>
      </w:r>
    </w:p>
    <w:p>
      <w:pPr>
        <w:spacing w:before="40" w:after="40"/>
        <w:ind w:left="283"/>
      </w:pPr>
      <w:r>
        <w:rPr>
          <w:rFonts w:ascii="Calibri" w:hAnsi="Calibri"/>
          <w:b/>
          <w:color w:val="4A6B25"/>
          <w:sz w:val="20"/>
        </w:rPr>
        <w:t xml:space="preserve">2. </w:t>
      </w:r>
      <w:r>
        <w:rPr>
          <w:rFonts w:ascii="Calibri" w:hAnsi="Calibri"/>
          <w:b w:val="0"/>
          <w:color w:val="3A4A28"/>
          <w:sz w:val="20"/>
        </w:rPr>
        <w:t>CMS reimbursement stabilization — as industry confusion clears and new Medicare codes are established, wound care volumes could recover from the Q1 2026 trough [1]</w:t>
      </w:r>
    </w:p>
    <w:p>
      <w:pPr>
        <w:spacing w:before="40" w:after="40"/>
        <w:ind w:left="283"/>
      </w:pPr>
      <w:r>
        <w:rPr>
          <w:rFonts w:ascii="Calibri" w:hAnsi="Calibri"/>
          <w:b/>
          <w:color w:val="4A6B25"/>
          <w:sz w:val="20"/>
        </w:rPr>
        <w:t xml:space="preserve">3. </w:t>
      </w:r>
      <w:r>
        <w:rPr>
          <w:rFonts w:ascii="Calibri" w:hAnsi="Calibri"/>
          <w:b w:val="0"/>
          <w:color w:val="3A4A28"/>
          <w:sz w:val="20"/>
        </w:rPr>
        <w:t>Strong cash position ($142M) enables potential M&amp;A to accelerate growth in surgical or adjacent regenerative medicine markets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Medicare reimbursement reduction for advanced wound care products — not a temporary disruption but a permanent repricing of MiMedx's core revenue stream, with wound care down 60% YoY in Q1 2026 [1]</w:t>
      </w:r>
    </w:p>
    <w:p>
      <w:pPr>
        <w:spacing w:before="40" w:after="40"/>
        <w:ind w:left="283"/>
      </w:pPr>
      <w:r>
        <w:rPr>
          <w:rFonts w:ascii="Calibri" w:hAnsi="Calibri"/>
          <w:b/>
          <w:color w:val="4A6B25"/>
          <w:sz w:val="20"/>
        </w:rPr>
        <w:t xml:space="preserve">2. </w:t>
      </w:r>
      <w:r>
        <w:rPr>
          <w:rFonts w:ascii="Calibri" w:hAnsi="Calibri"/>
          <w:b w:val="0"/>
          <w:color w:val="3A4A28"/>
          <w:sz w:val="20"/>
        </w:rPr>
        <w:t>FDA warning letter on AXIOFILL product authorization creates regulatory risk for a key surgical growth product; ongoing legal disputes with former employees may surface additional compliance issues [3]</w:t>
      </w:r>
    </w:p>
    <w:p>
      <w:pPr>
        <w:spacing w:before="40" w:after="40"/>
        <w:ind w:left="283"/>
      </w:pPr>
      <w:r>
        <w:rPr>
          <w:rFonts w:ascii="Calibri" w:hAnsi="Calibri"/>
          <w:b/>
          <w:color w:val="4A6B25"/>
          <w:sz w:val="20"/>
        </w:rPr>
        <w:t xml:space="preserve">3. </w:t>
      </w:r>
      <w:r>
        <w:rPr>
          <w:rFonts w:ascii="Calibri" w:hAnsi="Calibri"/>
          <w:b w:val="0"/>
          <w:color w:val="3A4A28"/>
          <w:sz w:val="20"/>
        </w:rPr>
        <w:t>Reputational legacy from SEC accounting fraud conviction of former CEO Petit and allegations of medically unnecessary product usage creates persistent investor discount and litigation tail risk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MiMedx's core business involves biological tissue processing using its patented PURION method — a physical manufacturing process that AI cannot replicate or displace [4]. Placental tissue allografts require human donor tissue procurement, aseptic processing, terminal sterilization, and cold-chain logistics — entirely physical operations. The wound care and surgical markets require in-person clinical application by healthcare providers. Regulatory barriers (FDA 361 HCT/P pathway) add further protection. AI may eventually assist in wound assessment or surgical planning, but this would increase demand for regenerative products rather than substitute them. AI Opportunity (0/1): No AI-generated revenue. MiMedx is a biological products company with no AI product offerings or quantifiable AI revenue contribution.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MiMedx Q1 2026 Earnings Release — $59M revenue (-33% YoY), wound care -60%, surgical +13%, guidance cut to $260-290M, April 2026</w:t>
      </w:r>
    </w:p>
    <w:p>
      <w:pPr>
        <w:spacing w:before="20" w:after="20"/>
        <w:ind w:left="170"/>
      </w:pPr>
      <w:r>
        <w:rPr>
          <w:rFonts w:ascii="Calibri" w:hAnsi="Calibri"/>
          <w:b/>
          <w:color w:val="4A6B25"/>
          <w:sz w:val="15"/>
        </w:rPr>
        <w:t xml:space="preserve">2. </w:t>
      </w:r>
      <w:r>
        <w:rPr>
          <w:rFonts w:ascii="Calibri" w:hAnsi="Calibri"/>
          <w:b w:val="0"/>
          <w:color w:val="3A4A28"/>
          <w:sz w:val="17"/>
        </w:rPr>
        <w:t>MiMedx Glassdoor Reviews (230 reviews, 3.2/5.0 rating) and management team information, accessed May 2026</w:t>
      </w:r>
    </w:p>
    <w:p>
      <w:pPr>
        <w:spacing w:before="20" w:after="20"/>
        <w:ind w:left="170"/>
      </w:pPr>
      <w:r>
        <w:rPr>
          <w:rFonts w:ascii="Calibri" w:hAnsi="Calibri"/>
          <w:b/>
          <w:color w:val="4A6B25"/>
          <w:sz w:val="15"/>
        </w:rPr>
        <w:t xml:space="preserve">3. </w:t>
      </w:r>
      <w:r>
        <w:rPr>
          <w:rFonts w:ascii="Calibri" w:hAnsi="Calibri"/>
          <w:b w:val="0"/>
          <w:color w:val="3A4A28"/>
          <w:sz w:val="17"/>
        </w:rPr>
        <w:t>SEC Charges Biotech Company and Executives With Accounting Fraud (2019); PR Newswire — ex-employee allegations of predatory sales practices; AJC — FDA warning letter on AXIOFILL</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MDXG key statistics and financial data,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