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MEHA</w:t>
      </w:r>
      <w:r>
        <w:rPr>
          <w:rFonts w:ascii="Calibri" w:hAnsi="Calibri"/>
          <w:b/>
          <w:color w:val="1A2010"/>
          <w:sz w:val="40"/>
        </w:rPr>
        <w:t xml:space="preserve">  Functional Brands Inc.</w:t>
      </w:r>
    </w:p>
    <w:p>
      <w:pPr>
        <w:spacing w:after="120"/>
      </w:pPr>
      <w:r>
        <w:rPr>
          <w:rFonts w:ascii="Calibri" w:hAnsi="Calibri"/>
          <w:b/>
          <w:color w:val="6E8450"/>
          <w:sz w:val="18"/>
        </w:rPr>
        <w:t>GROWTH SLEEVE · 2026-04-01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Functional Brands Inc. (formerly HT Naturals) manufactures and distributes nutraceutical supplements through its Kirkman brand, serving pharmacies, wholesalers, international distributors, and direct-to-consumer channels across 40+ countries. The company recently listed on Nasdaq in November 2025 and is transitioning its Amazon business to a direct-to-consumer model.</w:t>
      </w:r>
    </w:p>
    <w:p>
      <w:r>
        <w:rPr>
          <w:rFonts w:ascii="Calibri" w:hAnsi="Calibri"/>
          <w:b/>
          <w:color w:val="6E8450"/>
          <w:sz w:val="18"/>
        </w:rPr>
        <w:t>https://www.functionalbrandsinc.com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Functional Brands has not executed any meaningful product launches or business model transformations — the company's revenue has declined from $6.82M in 2023 to $6.5M trailing, and the Nasdaq direct listing in November 2025 is a capital markets event, not a product innovation [1]. The transition from hemp to supplements and exit from HempTown Naturals represents strategic retreat rather than innovation. AI Deployment (0/2): No AI products, AI-driven efficiencies, or AI strategy evident for this micro-cap supplement manufacturer [2]. Market Share (1/2): Kirkman holds a niche leadership position in hypoallergenic supplements for the autism and special-needs community, with presence in 40+ countries and 75+ years of operating history since 1949 [2]. Pipeline (1/2): Tru2U DTC telehealth platform and P2i by Kirkman prenatal product represent new revenue channels, and Google-supported digital acceleration shows some forward planning, though timelines and revenue visibility are vague [2]. R&amp;D Intensity (0/1): No evidence of meaningful R&amp;D spending relative to the $6.5M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MEHA philosophy — 'Make Everyone Healthy Again' — is clear and identifies what the company does (health/wellness) and for whom, but is not deeply distinctive or transformative. It guides product design and marketing decisions according to leadership [2]. Community Impact (1/2): General commitment to public health education and consumer empowerment, but no specific charitable programs, dollar amounts, or measurable community investment found for this micro-cap company [3]. Employee Retention (0/2): No employee data available — employee count is not disclosed, no Glassdoor reviews found, and no retention metrics are public [2]. Insider Buying (1/2): CEO Eric Gripentrog has significant equity exposure through the direct listing process and private placement, demonstrating alignment with shareholders, though no open-market insider buying data is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4.2M shares x $0.16 stock price = $669,924 daily traded value, below the $1M minimum threshold [4]. Infrastructure score is automatically 0 regardless of other metrics. For reference, underlying fundamentals are also weak: D/E of 172.8%, ROE of 1.1%, operating margin of -75.8%, revenue declining 11% YoY to $6.6M annually, and the 10-K includes going concern language from auditors [1][4]. Market cap is just $3.4M. The company faces Nasdaq minimum bid price deficiency risk at $0.16/share [3]. Positive note: gross margins of 52.7% show the Kirkman brand has pricing power, and the company holds $2.7M cash against $2.7M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Functional Brands benefits from Kirkman's 75-year heritage in hypoallergenic supplements, providing a genuine long-term purpose in serving the special-needs community. However, the company's frequent name changes (HT Naturals to Functional Brands), strategic pivots (hemp to supplements), and going concern risk suggest reactive decision-making rather than infinite game conviction. The MEHA mission provides directional alignment but has not been tested through sustained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The 'Make Everyone Healthy Again' mission connects the company's supplement business to a broader health and wellness purpose, and Kirkman's 75-year history serving the autism and special-needs community provides genuine, distinctive purpose [2]. The Just Cause is partially validated by Kirkman's decades of focused service, but the company's recent name changes and strategic pivots (hemp exit, Amazon model change) suggest the cause hasn't fully shaped consistent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No employee data is available — employee count is undisclosed, no Glassdoor reviews exist, and no retention metrics are public [2]. The going concern risk and Nasdaq delisting threat create organizational instability that likely undermines employee trust and psychological safety. Cannot score positively without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leadership acknowledging competitors' strengths or using rivalry to improve. The shareholder letter focuses on the company's own milestones (Nasdaq listing, revenue figures) without referencing how competitors in the supplement space drive Functional Brands to improve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The company has shown willingness to pivot — exiting the hemp/CBD business (HempTown Naturals), transitioning Amazon from reseller to direct-to-consumer model, and launching the Tru2U telehealth platform [1][2]. These are incremental adaptations driven by necessity (hemp business underperformance) rather than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CEO Eric Gripentrog pursued a Nasdaq direct listing for a $3M market cap company, demonstrating conviction in the business model and willingness to accept public market scrutiny [2]. Walking away from the hemp business to focus on the higher-margin Kirkman supplement portfolio shows some willingness to sacrifice revenue for strategic focus. However, the going concern risk suggests these decisions may be driven by survival necessity rather than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Functional Brands offers a niche value proposition through Kirkman, a 75-year-old hypoallergenic supplement brand with distribution in 40+ countries and 52.7% gross margins [1][4]. The November 2025 Nasdaq listing raised $8M in gross proceeds through private placement, providing capital for growth initiatives including the Tru2U telehealth platform, Google-supported digital acceleration, and Amazon DTC transition [2]. The P2i prenatal product and commercial partnership with Market Performance Group could drive incremental revenue. At $0.16/share with a $3.4M market cap, the stock prices in severe distress, offering asymmetric upside if the company can stabilize and grow revenue.</w:t>
      </w:r>
    </w:p>
    <w:p>
      <w:pPr>
        <w:spacing w:after="120"/>
      </w:pPr>
      <w:r>
        <w:rPr>
          <w:rFonts w:ascii="Calibri" w:hAnsi="Calibri"/>
          <w:b w:val="0"/>
          <w:color w:val="3A4A28"/>
          <w:sz w:val="20"/>
        </w:rPr>
        <w:t>The bear case is overwhelming for an institutional investor. The company has $6.5M in trailing revenue declining 11% YoY, auditor going concern language in the 10-K, and Nasdaq minimum bid price deficiency risk at $0.16/share [1][3]. Market cap of $3.4M and daily traded value of $670K make this essentially untradeable for any meaningful position size. Operating margin of -75.8% shows the business is burning cash despite positive gross margins [4]. The frequent corporate reinventions (HT Naturals to Functional Brands, hemp exit, Amazon model change) suggest strategic instability. No analyst coverage, no institutional ownership of significance, and no earnings visibility make this a speculative micro-cap with real risk of delisting or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Tru2U DTC telehealth platform launch could open a higher-margin revenue channel beyond traditional wholesale distribution [2]</w:t>
      </w:r>
    </w:p>
    <w:p>
      <w:pPr>
        <w:spacing w:before="40" w:after="40"/>
        <w:ind w:left="283"/>
      </w:pPr>
      <w:r>
        <w:rPr>
          <w:rFonts w:ascii="Calibri" w:hAnsi="Calibri"/>
          <w:b/>
          <w:color w:val="4A6B25"/>
          <w:sz w:val="20"/>
        </w:rPr>
        <w:t xml:space="preserve">2. </w:t>
      </w:r>
      <w:r>
        <w:rPr>
          <w:rFonts w:ascii="Calibri" w:hAnsi="Calibri"/>
          <w:b w:val="0"/>
          <w:color w:val="3A4A28"/>
          <w:sz w:val="20"/>
        </w:rPr>
        <w:t>Amazon direct-to-consumer transition, while temporarily depressing revenue, should improve margins once fully implemented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 maintaining listing status would provide continued access to capital markets for a company that raised $8M in November 2025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at $0.16 is well below $1.00 minimum bid price requirement, and failure to regain compliance would force OTC trading and destroy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Going concern — auditors have flagged doubt about the company's ability to continue as a going concern, with operating losses and $6.5M annual revenue providing minimal margin for error [1][3]</w:t>
      </w:r>
    </w:p>
    <w:p>
      <w:pPr>
        <w:spacing w:before="40" w:after="40"/>
        <w:ind w:left="283"/>
      </w:pPr>
      <w:r>
        <w:rPr>
          <w:rFonts w:ascii="Calibri" w:hAnsi="Calibri"/>
          <w:b/>
          <w:color w:val="4A6B25"/>
          <w:sz w:val="20"/>
        </w:rPr>
        <w:t xml:space="preserve">3. </w:t>
      </w:r>
      <w:r>
        <w:rPr>
          <w:rFonts w:ascii="Calibri" w:hAnsi="Calibri"/>
          <w:b w:val="0"/>
          <w:color w:val="3A4A28"/>
          <w:sz w:val="20"/>
        </w:rPr>
        <w:t>Illiquidity — $670K daily traded value makes meaningful position sizing impossible and exit risk severe; any institutional holder attempting to sell would crater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Functional Brands' core business — manufacturing and distributing physical nutraceutical supplements through pharmacies, wholesalers, and direct-to-consumer channels — is inherently protected from AI disruption [2]. Supplement formulation, manufacturing, regulatory compliance (FDA), and physical distribution cannot be replaced by AI. The Kirkman brand's 75-year reputation in the hypoallergenic supplements niche creates customer trust that AI cannot replicate. Minor exposure exists in e-commerce channels where AI-driven competitors could optimize pricing and customer acquisition more effectively. AI Opportunity (0/1): No AI-derived revenue; the Google digital acceleration partnership is a marketing tool, not an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Functional Brands Q4 2025 Earnings Release — $1.50M quarterly revenue, 11% YoY decline, Amazon DTC transition, March 30, 2026</w:t>
      </w:r>
    </w:p>
    <w:p>
      <w:pPr>
        <w:spacing w:before="20" w:after="20"/>
        <w:ind w:left="170"/>
      </w:pPr>
      <w:r>
        <w:rPr>
          <w:rFonts w:ascii="Calibri" w:hAnsi="Calibri"/>
          <w:b/>
          <w:color w:val="4A6B25"/>
          <w:sz w:val="15"/>
        </w:rPr>
        <w:t xml:space="preserve">2. </w:t>
      </w:r>
      <w:r>
        <w:rPr>
          <w:rFonts w:ascii="Calibri" w:hAnsi="Calibri"/>
          <w:b w:val="0"/>
          <w:color w:val="3A4A28"/>
          <w:sz w:val="17"/>
        </w:rPr>
        <w:t>Functional Brands shareholder letter and Nasdaq listing announcement — CEO Eric Gripentrog, November 2025</w:t>
      </w:r>
    </w:p>
    <w:p>
      <w:pPr>
        <w:spacing w:before="20" w:after="20"/>
        <w:ind w:left="170"/>
      </w:pPr>
      <w:r>
        <w:rPr>
          <w:rFonts w:ascii="Calibri" w:hAnsi="Calibri"/>
          <w:b/>
          <w:color w:val="4A6B25"/>
          <w:sz w:val="15"/>
        </w:rPr>
        <w:t xml:space="preserve">3. </w:t>
      </w:r>
      <w:r>
        <w:rPr>
          <w:rFonts w:ascii="Calibri" w:hAnsi="Calibri"/>
          <w:b w:val="0"/>
          <w:color w:val="3A4A28"/>
          <w:sz w:val="17"/>
        </w:rPr>
        <w:t>Functional Brands 10-K SEC filing — going concern language, Nasdaq bid price deficiency,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MEHA (Functional Brands),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