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MET</w:t>
      </w:r>
      <w:r>
        <w:rPr>
          <w:rFonts w:ascii="Calibri" w:hAnsi="Calibri"/>
          <w:b/>
          <w:color w:val="1A2010"/>
          <w:sz w:val="40"/>
        </w:rPr>
        <w:t xml:space="preserve">  MetLife, Inc.</w:t>
      </w:r>
    </w:p>
    <w:p>
      <w:pPr>
        <w:spacing w:after="120"/>
      </w:pPr>
      <w:r>
        <w:rPr>
          <w:rFonts w:ascii="Calibri" w:hAnsi="Calibri"/>
          <w:b/>
          <w:color w:val="6E8450"/>
          <w:sz w:val="18"/>
        </w:rPr>
        <w:t>DIVIDEND SLEEVE · 2026-04-07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MetLife is a global financial services company providing insurance, annuities, employee benefits, and asset management across six segments: Group Benefits, Retirement and Income Solutions, Asia, Latin America, EMEA, and MetLife Holdings. The company serves approximately 100 million customers in over 40 countries and is one of the world's largest life insurers by assets.</w:t>
      </w:r>
    </w:p>
    <w:p>
      <w:r>
        <w:rPr>
          <w:rFonts w:ascii="Calibri" w:hAnsi="Calibri"/>
          <w:b/>
          <w:color w:val="6E8450"/>
          <w:sz w:val="18"/>
        </w:rPr>
        <w:t>46,000 Employees · https://www.metlife.com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MetLife has delivered steady execution under CEO Khalaf's Next Horizon strategy (2019-2024), exceeding every financial commitment, but the business model remains fundamentally unchanged — life insurance, annuities, and employee benefits [1]. No transformative product launches or market pivots in the last 5 years. AI Deployment (1/2): MetLife has deployed a proprietary AI platform combining generative, agentic, and classical AI, with CEO Khalaf calling technology investment a 'true differentiator' and the company enacting a Global Responsible AI Policy [2]. However, no specific revenue or cost savings figures from AI have been disclosed. Market Share (2/2): MetLife is one of the world's largest life insurers with $77.1B in annual revenue, 46,000 employees across 40+ countries, and dominant positions in U.S. group benefits and retirement solutions [1]. Pipeline (1/2): The New Frontier strategy targets continued growth in group benefits, retirement solutions, and international expansion, with 2026 EPS expected to grow 17.6% [1]. R&amp;D Intensity (0/1): Insurance companies do not typically report R&amp;D as a separate line item, and MetLife's technology spending is not distinguishable as above-average for the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MetLife's purpose — 'Always with you, building a more confident future' — is clear and customer-oriented but not distinctive from other large insurers making similar promises about financial security [2]. The mission does not articulate a vision of a future state that inspires beyond the obvious. Community Impact (1/2): MetLife Foundation supports community programs, and the company has maintained carbon neutrality for offices, fleets, and business travel since 2016, with a 44% reduction in location-based emissions since 2019 [3]. General corporate philanthropy but no standout programs cited. Employee Retention (1/2): MetLife employs 46,000 people with stable leadership under CEO Khalaf since 2019, and the company fosters a learning culture around AI upskilling, but no specific retention metrics (tenure, voluntary turnover) are publicly available [2]. Insider Buying (0/2): No evidence of net insider buying by CEO or executives in the last 12 months; CEO Khalaf holds options and exercised stock but no open-market purchases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MetLife's financial infrastructure is strong for a large-cap dividend payer. Revenue of $77.1B (up 8.6% YoY) with Q4 2025 revenue surging 27.6% [1]. Forward P/E of 6.49x is exceptionally low, reflecting insurance sector valuation and providing a deep value floor. ROE of 12.0% is below the 15% target but respectable for insurance. D/E of 226% is elevated (typical for insurers carrying policyholder obligations as debt), scoring 0.32 on that metric. Profit margin of 4.4% is thin but standard for insurance (high revenue, high claims). Dividend yield of 3.21% with payout ratio of 47.7%, ~25 consecutive years paid, ~10 years of growth, and ~4.7% 5yr dividend growth CAGR provide solid income characteristics [4]. Nearly $4.4B returned to shareholders in 2025 and BVPS up 14% to $39.02 [1]. Liquidity easily cleared: 4.0M avg vol x $71.04 = $282.5M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MetLife under CEO Khalaf operates primarily as a well-managed finite player — optimizing for consistent financial targets (exceeding all Next Horizon commitments), shareholder returns ($4.4B in 2025), and operational efficiency. The company plays to win each quarter rather than to transform the industry or articulate a vision of a fundamentally different future. The New Frontier strategy is evolutionary, not revolutionary.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MetLife's purpose — 'Always with you, building a more confident future' — is a corporate tagline, not a Just Cause in Sinek's framework [2]. It's interchangeable with any financial services company. Leadership does not reference this purpose when explaining strategic decisions; instead, they reference financial targets and shareholder returns. The company exists to provide insurance products profitably — a legitimate business but not an inspiring cause that people sacrifice to advance.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MetLife has 46,000 employees with stable leadership under Khalaf since 2019, and the company promotes a learning culture around AI and emerging technologies, with the CEO making it 'okay that everyone is learning at the same time' [2]. The emphasis on upskilling rather than replacing workers shows respect for teams. However, governance risk scores from third parties rate compensation risk at 1 (low) but shareholder rights risk at 6 (moderate), suggesting some governance tension [4].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found of MetLife leadership acknowledging competitors' strengths or framing competition as motivation for improvement [2]. Communications focus on MetLife's own financial results and strategic commitments rather than learning from rivals like Prudential, AIG, or insuretech challengers. The competitive language centers on market position rather than self-improvement.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MetLife has shown incremental flexibility by divesting MetLife Auto &amp; Home to Farmers Insurance (2020), exiting non-core businesses, and investing in AI and technology platforms through the New Frontier strategy [2]. However, the core business model of insurance, annuities, and benefits has remained fundamentally unchanged for decades. The AI investment represents adaptation rather than transformation.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Khalaf showed discipline by exceeding all Next Horizon financial commitments while investing in technology and AI platforms, balancing short-term returns with long-term capability building [1]. The company maintained carbon neutrality since 2016 at some cost. However, strategic decisions appear driven by financial optimization rather than principled long-term bets — returning $4.4B to shareholders in 2025 reflects confidence but not courage [3].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MetLife is a deeply undervalued large-cap dividend payer trading at 6.5x forward P/E with a 3.21% dividend yield, offering a compelling value proposition for income investors [4]. The company delivered $77.1B in 2025 revenue (up 8.6% YoY) with Q4 adjusted earnings up 13% and adjusted EPS excluding notables rising 24% to $2.58, demonstrating operational leverage [1]. Forward EPS of $10.94 implies 14.9% earnings growth, and the company returned $4.4B to shareholders in 2025 with BVPS increasing 14% to $39.02 [1]. MetLife's diversified global platform across group benefits, retirement, and international markets provides multiple growth vectors, while its AI investment through a proprietary platform positions it for efficiency gains in claims processing and underwriting [2].</w:t>
      </w:r>
    </w:p>
    <w:p>
      <w:pPr>
        <w:spacing w:after="120"/>
      </w:pPr>
      <w:r>
        <w:rPr>
          <w:rFonts w:ascii="Calibri" w:hAnsi="Calibri"/>
          <w:b w:val="0"/>
          <w:color w:val="3A4A28"/>
          <w:sz w:val="20"/>
        </w:rPr>
        <w:t>The bear case focuses on cyclical exposure and structural challenges. MetLife's Q4 2025 GAAP EPS missed analyst estimates despite revenue growth, with earnings quarterly growth declining 36.3% [4]. Profit margin of 4.4% is thin, and D/E of 226% reflects the insurance industry's leveraged balance sheet structure that amplifies downside in market stress scenarios. Variable investment income — a significant earnings contributor — is inherently volatile and dependent on capital market conditions. International operations (Asia, Latin America, EMEA) face currency risk and geopolitical uncertainty. The insurance industry faces long-term disruption from insuretech startups using AI for automated underwriting and instant claims. MetLife stock has declined 15.3% from its 52-week high of $83.85, underperforming the S&amp;P 500's 32.7% gain, suggesting the market sees limited growth upside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Frontier strategy execution delivering on targeted 14.9% earnings growth and 17.6% EPS growth in 2026, potentially driving multiple expansion from the current 6.5x forward P/E [1]</w:t>
      </w:r>
    </w:p>
    <w:p>
      <w:pPr>
        <w:spacing w:before="40" w:after="40"/>
        <w:ind w:left="283"/>
      </w:pPr>
      <w:r>
        <w:rPr>
          <w:rFonts w:ascii="Calibri" w:hAnsi="Calibri"/>
          <w:b/>
          <w:color w:val="4A6B25"/>
          <w:sz w:val="20"/>
        </w:rPr>
        <w:t xml:space="preserve">2. </w:t>
      </w:r>
      <w:r>
        <w:rPr>
          <w:rFonts w:ascii="Calibri" w:hAnsi="Calibri"/>
          <w:b w:val="0"/>
          <w:color w:val="3A4A28"/>
          <w:sz w:val="20"/>
        </w:rPr>
        <w:t>AI platform deployment across claims processing and underwriting creating measurable efficiency gains and expanding margins beyond the current 4.4% profit margin [2]</w:t>
      </w:r>
    </w:p>
    <w:p>
      <w:pPr>
        <w:spacing w:before="40" w:after="40"/>
        <w:ind w:left="283"/>
      </w:pPr>
      <w:r>
        <w:rPr>
          <w:rFonts w:ascii="Calibri" w:hAnsi="Calibri"/>
          <w:b/>
          <w:color w:val="4A6B25"/>
          <w:sz w:val="20"/>
        </w:rPr>
        <w:t xml:space="preserve">3. </w:t>
      </w:r>
      <w:r>
        <w:rPr>
          <w:rFonts w:ascii="Calibri" w:hAnsi="Calibri"/>
          <w:b w:val="0"/>
          <w:color w:val="3A4A28"/>
          <w:sz w:val="20"/>
        </w:rPr>
        <w:t>Continued shareholder returns through dividend growth (~4.7% 5yr CAGR) and share buybacks, with $4.4B returned in 2025 providing a strong income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Variable investment income volatility — MetLife's earnings are significantly exposed to capital market conditions, and a market downturn could compress both investment returns and book value [4]</w:t>
      </w:r>
    </w:p>
    <w:p>
      <w:pPr>
        <w:spacing w:before="40" w:after="40"/>
        <w:ind w:left="283"/>
      </w:pPr>
      <w:r>
        <w:rPr>
          <w:rFonts w:ascii="Calibri" w:hAnsi="Calibri"/>
          <w:b/>
          <w:color w:val="4A6B25"/>
          <w:sz w:val="20"/>
        </w:rPr>
        <w:t xml:space="preserve">2. </w:t>
      </w:r>
      <w:r>
        <w:rPr>
          <w:rFonts w:ascii="Calibri" w:hAnsi="Calibri"/>
          <w:b w:val="0"/>
          <w:color w:val="3A4A28"/>
          <w:sz w:val="20"/>
        </w:rPr>
        <w:t>Insuretech disruption risk from AI-powered challengers automating underwriting, claims, and distribution in simpler insurance lines like term life and auto [2]</w:t>
      </w:r>
    </w:p>
    <w:p>
      <w:pPr>
        <w:spacing w:before="40" w:after="40"/>
        <w:ind w:left="283"/>
      </w:pPr>
      <w:r>
        <w:rPr>
          <w:rFonts w:ascii="Calibri" w:hAnsi="Calibri"/>
          <w:b/>
          <w:color w:val="4A6B25"/>
          <w:sz w:val="20"/>
        </w:rPr>
        <w:t xml:space="preserve">3. </w:t>
      </w:r>
      <w:r>
        <w:rPr>
          <w:rFonts w:ascii="Calibri" w:hAnsi="Calibri"/>
          <w:b w:val="0"/>
          <w:color w:val="3A4A28"/>
          <w:sz w:val="20"/>
        </w:rPr>
        <w:t>International exposure to currency risk and geopolitical uncertainty across Asia, Latin America, and EMEA segments representing a material portion of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is a PROTECTED industry with deep regulatory moats, complex underwriting requiring human judgment, and relationship-driven sales channels that AI cannot easily replace [2]. MetLife's group benefits and retirement solutions involve employer relationships and regulatory compliance that create high switching costs. However, simpler insurance products (auto, term life) face real disruption from insuretech startups using AI for automated underwriting, instant claims processing, and dynamic pricing. AI Opportunity (1/1): MetLife is actively deploying AI through its proprietary platform combining generative, agentic, and classical AI, with CEO Khalaf calling technology investment a 'true differentiator' and the company implementing a Global Responsible AI Policy to guide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MetLife Q4/FY2025 Earnings Release — $77.1B revenue (8.6% YoY), $4.4B shareholder returns, BVPS up 14%, February 2026</w:t>
      </w:r>
    </w:p>
    <w:p>
      <w:pPr>
        <w:spacing w:before="20" w:after="20"/>
        <w:ind w:left="170"/>
      </w:pPr>
      <w:r>
        <w:rPr>
          <w:rFonts w:ascii="Calibri" w:hAnsi="Calibri"/>
          <w:b/>
          <w:color w:val="4A6B25"/>
          <w:sz w:val="15"/>
        </w:rPr>
        <w:t xml:space="preserve">2. </w:t>
      </w:r>
      <w:r>
        <w:rPr>
          <w:rFonts w:ascii="Calibri" w:hAnsi="Calibri"/>
          <w:b w:val="0"/>
          <w:color w:val="3A4A28"/>
          <w:sz w:val="17"/>
        </w:rPr>
        <w:t>MetLife corporate website, New Frontier strategy, AI platform deployment, CEO Khalaf commentary,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MetLife Sustainability Report — carbon neutrality since 2016, 44% emissions reduction since 2019,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MET (MetLife),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