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MFA</w:t>
      </w:r>
      <w:r>
        <w:rPr>
          <w:rFonts w:ascii="Calibri" w:hAnsi="Calibri"/>
          <w:b/>
          <w:color w:val="1A2010"/>
          <w:sz w:val="40"/>
        </w:rPr>
        <w:t xml:space="preserve">  MFA Financial, Inc.</w:t>
      </w:r>
    </w:p>
    <w:p>
      <w:pPr>
        <w:spacing w:after="120"/>
      </w:pPr>
      <w:r>
        <w:rPr>
          <w:rFonts w:ascii="Calibri" w:hAnsi="Calibri"/>
          <w:b/>
          <w:color w:val="6E8450"/>
          <w:sz w:val="18"/>
        </w:rPr>
        <w:t>DIVIDEND SLEEVE · 2026-04-26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NYSE · United States</w:t>
      </w:r>
    </w:p>
    <w:p>
      <w:pPr>
        <w:spacing w:after="80"/>
      </w:pPr>
      <w:r>
        <w:rPr>
          <w:rFonts w:ascii="Calibri" w:hAnsi="Calibri"/>
          <w:b w:val="0"/>
          <w:color w:val="3A4A28"/>
          <w:sz w:val="20"/>
        </w:rPr>
        <w:t>MFA Financial is a mortgage REIT that invests in and manages a diversified portfolio of residential whole loans, mortgage-backed securities, and credit risk transfer securities. Through its Lima One subsidiary, MFA originates and services business purpose loans for real estate investors. The company qualifies as a REIT and distributes at least 90% of taxable income to shareholders.</w:t>
      </w:r>
    </w:p>
    <w:p>
      <w:r>
        <w:rPr>
          <w:rFonts w:ascii="Calibri" w:hAnsi="Calibri"/>
          <w:b/>
          <w:color w:val="6E8450"/>
          <w:sz w:val="18"/>
        </w:rPr>
        <w:t>307 Employees · https://www.mfafinancial.com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MFA posted FY2025 revenue of $298.6M (up 18% YoY from $252.9M) with net income of $176.8M, recovering strongly from the 2022 mark-to-market losses [1]. The Lima One acquisition in 2021 was a meaningful pivot into direct mortgage origination, but the core business remains a traditional spread-lending model. AI Deployment (0/2): No evidence of AI-powered products or quantified AI-driven cost savings; MFA operates as a traditional mortgage REIT without notable AI integration [2]. Market Share (1/2): MFA is a mid-sized mortgage REIT with $1B market cap, not a category leader but maintains a meaningful presence in the non-QM and business purpose loan segments through Lima One [1]. Pipeline (1/2): Lima One origination platform provides visible deal flow, and management has guided for continued portfolio growth in 2026 with EPS estimates of $1.38 [1]. R&amp;D Intensity (1/1): For a mortgage REIT, the Lima One platform represents meaningful reinvestment into origination capabilities versus pure portfolio management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MFA's stated purpose is generic — focused on generating attractive risk-adjusted returns for shareholders through residential mortgage investments. This is indistinguishable from any other mortgage REIT [3]. Community Impact (1/2): MFA provides housing finance capital to underserved segments including non-QM borrowers and small real estate investors through Lima One, supporting housing access, though this is more business model than philanthropy [3]. Employee Retention (1/2): With only 307 employees, MFA is a small, lean organization; Glassdoor reviews describe a family environment with long employee tenure, though reviews also flag concerns about senior leadership and culture [2]. Insider Buying (1/2): CEO Craig Knutson holds 0.61% of shares worth $6.1M and has significant equity compensation (90% of $8.08M total comp), showing alignment. However, insider transactions show primarily stock awards rather than open-market purchases, and one officer sold shares in September 2025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MFA's financial profile reflects the leverage-intensive nature of mortgage REITs. D/E of 601.5% is extreme even for the sector, scoring 0 on that metric, though this is structural for a leveraged REIT [4]. ROE of 9.6% is below the 15% target but positive. Revenue growth of 18.1% YoY is strong as the portfolio recovers from 2022 interest rate dislocations [1]. Forward P/E of 6.82 is very attractive, well below the 20 target. Profit margin of 54.3% is excellent for a financial company [4]. On dividend metrics, the payout ratio of 110.8% exceeds 100% (scoring 0), consecutive years paid is 29 (scoring full marks at 2x weight), but consecutive years of growth is just 1 after cutting from $0.44 to $0.35 in 2023 [4]. The 5-year dividend CAGR is negative at -1.7% (scoring 0). Liquidity floor easily cleared at $14.5M daily volume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MFA Financial operates as a competent but finite-oriented mortgage REIT, focused on generating quarterly distributable earnings and maintaining dividend payments. The Lima One acquisition shows some strategic ambition beyond pure portfolio management, but the company lacks a compelling just cause beyond shareholder returns.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MFA exists to generate risk-adjusted returns on residential mortgage investments — a purpose that is entirely financial and lacks any aspirational dimension beyond profit [3]. The Lima One platform adds a modest sense of purpose in serving real estate entrepreneurs, but this is primarily a business model choice rather than a cause. No evidence of a vision that transcends quarterly distributable earnings.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307 employees and long average tenure suggested by Glassdoor reviews, MFA appears to maintain a stable, family-like work environment [2]. CEO Knutson has led since 2017 with consistent leadership. However, Glassdoor reviews flag concerns about senior leadership and culture, suggesting the trust environment is adequate but not exceptional.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MFA frames competition as a learning opportunity. The mortgage REIT space is characterized by finite competitive language around spread optimization and return generation. Management commentary focuses on portfolio positioning relative to interest rates rather than improving through competitive dynamics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2021 acquisition of Lima One represented meaningful strategic evolution from a pure-play portfolio REIT to an integrated origination-and-portfolio platform [1]. This was an incremental pivot into adjacent capabilities rather than a transformative reinvention, but it shows willingness to evolve the business model beyond passive MBS investing.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MFA made the courageous decision to acquire Lima One during COVID-era market disruption, expanding into direct origination when many mortgage REITs were de-risking [1]. However, the dividend cut from $0.44 to $0.35 in 2023, while prudent capital management, suggests a finite-game prioritization of capital preservation over sustained commitment to income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MFA Financial delivers a compelling 14.1% dividend yield at a deeply discounted forward P/E of 6.82x, supported by improving fundamentals — FY2025 revenue of $298.6M grew 18% YoY with 54.3% profit margins and Q4 net income of $54.3M (up 17% sequentially) [1]. The Lima One origination platform differentiates MFA from pure-play portfolio REITs, providing proprietary deal flow in the business purpose lending segment. Analyst estimates project $1.38 EPS for 2026, implying the stock trades at just 7.4x current-year earnings [1]. The 29-year dividend payment history demonstrates commitment to income generation through multiple market cycles, and the recent increase to $0.36/quarter signals management confidence in distributable earnings sustainability [4].</w:t>
      </w:r>
    </w:p>
    <w:p>
      <w:pPr>
        <w:spacing w:after="120"/>
      </w:pPr>
      <w:r>
        <w:rPr>
          <w:rFonts w:ascii="Calibri" w:hAnsi="Calibri"/>
          <w:b w:val="0"/>
          <w:color w:val="3A4A28"/>
          <w:sz w:val="20"/>
        </w:rPr>
        <w:t>The bear case centers on structural leverage risk and dividend sustainability. D/E of 601% reflects extreme balance sheet leverage that amplifies interest rate and credit risk — a rapid rate move or mortgage delinquency spike could impair book value significantly [4]. The payout ratio exceeds 100% of GAAP earnings, though REIT distributable earnings (which exclude non-cash items) may support the dividend more sustainably. Consecutive years of dividend growth is just 1 after the 2023 cut from $0.44 to $0.35, demonstrating the vulnerability of the income stream [4]. Revenue metrics are volatile due to mark-to-market accounting on MBS portfolios, making year-over-year comparisons unreliable. The $1B market cap limits institutional interest and creates liquidity risk during credit stress events. Rising delinquency rates in non-QM and transitional loans could pressure credit performance across the portfolio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Lima One origination platform expansion driving proprietary deal flow and higher-yielding business purpose loans [1]</w:t>
      </w:r>
    </w:p>
    <w:p>
      <w:pPr>
        <w:spacing w:before="40" w:after="40"/>
        <w:ind w:left="283"/>
      </w:pPr>
      <w:r>
        <w:rPr>
          <w:rFonts w:ascii="Calibri" w:hAnsi="Calibri"/>
          <w:b/>
          <w:color w:val="4A6B25"/>
          <w:sz w:val="20"/>
        </w:rPr>
        <w:t xml:space="preserve">2. </w:t>
      </w:r>
      <w:r>
        <w:rPr>
          <w:rFonts w:ascii="Calibri" w:hAnsi="Calibri"/>
          <w:b w:val="0"/>
          <w:color w:val="3A4A28"/>
          <w:sz w:val="20"/>
        </w:rPr>
        <w:t>Potential rate cuts improving net interest margins and reducing funding costs on the leveraged portfolio [1]</w:t>
      </w:r>
    </w:p>
    <w:p>
      <w:pPr>
        <w:spacing w:before="40" w:after="40"/>
        <w:ind w:left="283"/>
      </w:pPr>
      <w:r>
        <w:rPr>
          <w:rFonts w:ascii="Calibri" w:hAnsi="Calibri"/>
          <w:b/>
          <w:color w:val="4A6B25"/>
          <w:sz w:val="20"/>
        </w:rPr>
        <w:t xml:space="preserve">3. </w:t>
      </w:r>
      <w:r>
        <w:rPr>
          <w:rFonts w:ascii="Calibri" w:hAnsi="Calibri"/>
          <w:b w:val="0"/>
          <w:color w:val="3A4A28"/>
          <w:sz w:val="20"/>
        </w:rPr>
        <w:t>Dividend increase trajectory from $0.35 to $0.36/quarter signaling confidence in distributable earnings growth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(601% D/E) amplifies sensitivity to interest rate moves and credit deterioration in the residential mortgage portfolio [4]</w:t>
      </w:r>
    </w:p>
    <w:p>
      <w:pPr>
        <w:spacing w:before="40" w:after="40"/>
        <w:ind w:left="283"/>
      </w:pPr>
      <w:r>
        <w:rPr>
          <w:rFonts w:ascii="Calibri" w:hAnsi="Calibri"/>
          <w:b/>
          <w:color w:val="4A6B25"/>
          <w:sz w:val="20"/>
        </w:rPr>
        <w:t xml:space="preserve">2. </w:t>
      </w:r>
      <w:r>
        <w:rPr>
          <w:rFonts w:ascii="Calibri" w:hAnsi="Calibri"/>
          <w:b w:val="0"/>
          <w:color w:val="3A4A28"/>
          <w:sz w:val="20"/>
        </w:rPr>
        <w:t>Payout ratio above 100% of GAAP earnings raises dividend sustainability concerns if distributable earnings deteriorate [4]</w:t>
      </w:r>
    </w:p>
    <w:p>
      <w:pPr>
        <w:spacing w:before="40" w:after="40"/>
        <w:ind w:left="283"/>
      </w:pPr>
      <w:r>
        <w:rPr>
          <w:rFonts w:ascii="Calibri" w:hAnsi="Calibri"/>
          <w:b/>
          <w:color w:val="4A6B25"/>
          <w:sz w:val="20"/>
        </w:rPr>
        <w:t xml:space="preserve">3. </w:t>
      </w:r>
      <w:r>
        <w:rPr>
          <w:rFonts w:ascii="Calibri" w:hAnsi="Calibri"/>
          <w:b w:val="0"/>
          <w:color w:val="3A4A28"/>
          <w:sz w:val="20"/>
        </w:rPr>
        <w:t>Non-QM and transitional loan portfolio faces rising delinquency risk in a slowing housing market with elevated rates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MFA's core business of investing in residential whole loans and mortgage-backed securities is fundamentally a capital allocation and credit underwriting function. While AI can enhance mortgage origination efficiency and credit modeling, it cannot replace the need for capital providers in the mortgage market [2]. The Lima One business purpose lending segment involves relationship-driven small-business lending to real estate investors, which has meaningful human elements AI cannot easily replicate. However, AI-driven fintech competitors could compress origination margins over time, and AI-powered risk models could reduce the information advantages that specialized mortgage REITs rely upon [2]. AI Opportunity (1/1): Lima One's origination platform could benefit from AI-enhanced underwriting, property valuation, and borrower assessment tools, generating operational savings across the 307-person organization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MFA Financial FY2025 Earnings — $298.6M revenue, $176.8M net income, Q4 2025 results, January 2026</w:t>
      </w:r>
    </w:p>
    <w:p>
      <w:pPr>
        <w:spacing w:before="20" w:after="20"/>
        <w:ind w:left="170"/>
      </w:pPr>
      <w:r>
        <w:rPr>
          <w:rFonts w:ascii="Calibri" w:hAnsi="Calibri"/>
          <w:b/>
          <w:color w:val="4A6B25"/>
          <w:sz w:val="15"/>
        </w:rPr>
        <w:t xml:space="preserve">2. </w:t>
      </w:r>
      <w:r>
        <w:rPr>
          <w:rFonts w:ascii="Calibri" w:hAnsi="Calibri"/>
          <w:b w:val="0"/>
          <w:color w:val="3A4A28"/>
          <w:sz w:val="17"/>
        </w:rPr>
        <w:t>MFA Financial Executive Team page, Glassdoor reviews, and corporate profile,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MFA Financial corporate website — About MFA, mission and strategy,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MFA (MFA Financial), retrieved April 26,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